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CB" w:rsidRPr="003645CB" w:rsidRDefault="00766C1D" w:rsidP="003645CB">
      <w:pPr>
        <w:jc w:val="center"/>
        <w:rPr>
          <w:rFonts w:ascii="Times New Roman" w:hAnsi="Times New Roman"/>
          <w:color w:val="000000"/>
          <w:spacing w:val="-8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pacing w:val="-8"/>
        </w:rPr>
        <w:t xml:space="preserve">HƯỚNG DẪN XÂY DỰNG </w:t>
      </w:r>
      <w:r w:rsidR="003645CB" w:rsidRPr="003645CB">
        <w:rPr>
          <w:rFonts w:ascii="Times New Roman" w:hAnsi="Times New Roman"/>
          <w:b/>
          <w:color w:val="000000"/>
          <w:spacing w:val="-8"/>
          <w:lang w:val="vi-VN"/>
        </w:rPr>
        <w:t>BÁO CÁO</w:t>
      </w:r>
    </w:p>
    <w:p w:rsidR="00F168C3" w:rsidRDefault="003645CB" w:rsidP="003645CB">
      <w:pPr>
        <w:jc w:val="center"/>
        <w:rPr>
          <w:rFonts w:ascii="Times New Roman" w:hAnsi="Times New Roman"/>
          <w:b/>
          <w:color w:val="000000"/>
          <w:sz w:val="26"/>
          <w:lang w:eastAsia="vi-VN"/>
        </w:rPr>
      </w:pPr>
      <w:r>
        <w:rPr>
          <w:rFonts w:ascii="Times New Roman" w:hAnsi="Times New Roman"/>
          <w:b/>
          <w:color w:val="000000"/>
          <w:sz w:val="26"/>
          <w:lang w:eastAsia="vi-VN"/>
        </w:rPr>
        <w:t xml:space="preserve">Thực hiện Quyết định số 535/QĐ-TTg ngày 14 tháng 4 năm 2014 của </w:t>
      </w:r>
    </w:p>
    <w:p w:rsidR="00F168C3" w:rsidRDefault="003645CB" w:rsidP="003645CB">
      <w:pPr>
        <w:jc w:val="center"/>
        <w:rPr>
          <w:rFonts w:ascii="Times New Roman" w:hAnsi="Times New Roman"/>
          <w:b/>
          <w:color w:val="000000"/>
          <w:sz w:val="26"/>
          <w:lang w:eastAsia="vi-VN"/>
        </w:rPr>
      </w:pPr>
      <w:r>
        <w:rPr>
          <w:rFonts w:ascii="Times New Roman" w:hAnsi="Times New Roman"/>
          <w:b/>
          <w:color w:val="000000"/>
          <w:sz w:val="26"/>
          <w:lang w:eastAsia="vi-VN"/>
        </w:rPr>
        <w:t>Thủ tướng Chính phủ phê duyệt</w:t>
      </w:r>
      <w:r w:rsidR="00077EBC">
        <w:rPr>
          <w:rFonts w:ascii="Times New Roman" w:hAnsi="Times New Roman"/>
          <w:b/>
          <w:color w:val="000000"/>
          <w:sz w:val="26"/>
          <w:lang w:eastAsia="vi-VN"/>
        </w:rPr>
        <w:t xml:space="preserve"> Kế hoạch triển khai thực hiện </w:t>
      </w:r>
    </w:p>
    <w:p w:rsidR="003645CB" w:rsidRDefault="00077EBC" w:rsidP="003645CB">
      <w:pPr>
        <w:jc w:val="center"/>
        <w:rPr>
          <w:rFonts w:ascii="Times New Roman" w:hAnsi="Times New Roman"/>
          <w:b/>
          <w:color w:val="000000"/>
          <w:sz w:val="26"/>
          <w:lang w:eastAsia="vi-VN"/>
        </w:rPr>
      </w:pPr>
      <w:r>
        <w:rPr>
          <w:rFonts w:ascii="Times New Roman" w:hAnsi="Times New Roman"/>
          <w:b/>
          <w:color w:val="000000"/>
          <w:sz w:val="26"/>
          <w:lang w:eastAsia="vi-VN"/>
        </w:rPr>
        <w:t>K</w:t>
      </w:r>
      <w:r w:rsidR="003645CB">
        <w:rPr>
          <w:rFonts w:ascii="Times New Roman" w:hAnsi="Times New Roman"/>
          <w:b/>
          <w:color w:val="000000"/>
          <w:sz w:val="26"/>
          <w:lang w:eastAsia="vi-VN"/>
        </w:rPr>
        <w:t xml:space="preserve">huyến nghị của Ủy ban </w:t>
      </w:r>
      <w:r>
        <w:rPr>
          <w:rFonts w:ascii="Times New Roman" w:hAnsi="Times New Roman"/>
          <w:b/>
          <w:color w:val="000000"/>
          <w:sz w:val="26"/>
          <w:lang w:eastAsia="vi-VN"/>
        </w:rPr>
        <w:t xml:space="preserve">về </w:t>
      </w:r>
      <w:r w:rsidR="003645CB">
        <w:rPr>
          <w:rFonts w:ascii="Times New Roman" w:hAnsi="Times New Roman"/>
          <w:b/>
          <w:color w:val="000000"/>
          <w:sz w:val="26"/>
          <w:lang w:eastAsia="vi-VN"/>
        </w:rPr>
        <w:t>quyền trẻ em của L</w:t>
      </w:r>
      <w:r>
        <w:rPr>
          <w:rFonts w:ascii="Times New Roman" w:hAnsi="Times New Roman"/>
          <w:b/>
          <w:color w:val="000000"/>
          <w:sz w:val="26"/>
          <w:lang w:eastAsia="vi-VN"/>
        </w:rPr>
        <w:t>iên Hợp Quốc</w:t>
      </w:r>
    </w:p>
    <w:p w:rsidR="00077EBC" w:rsidRDefault="00077EBC" w:rsidP="00077EBC">
      <w:pPr>
        <w:tabs>
          <w:tab w:val="left" w:pos="630"/>
        </w:tabs>
        <w:spacing w:before="60" w:after="60" w:line="264" w:lineRule="auto"/>
        <w:jc w:val="both"/>
        <w:rPr>
          <w:rFonts w:ascii="Times New Roman" w:hAnsi="Times New Roman"/>
          <w:b/>
          <w:lang w:eastAsia="vi-VN"/>
        </w:rPr>
      </w:pPr>
      <w:bookmarkStart w:id="0" w:name="_GoBack"/>
      <w:bookmarkEnd w:id="0"/>
      <w:r>
        <w:rPr>
          <w:rFonts w:ascii="Times New Roman" w:hAnsi="Times New Roman"/>
          <w:b/>
          <w:lang w:val="vi-VN" w:eastAsia="vi-VN"/>
        </w:rPr>
        <w:tab/>
      </w:r>
      <w:r w:rsidR="004A7B6F" w:rsidRPr="004F5741">
        <w:rPr>
          <w:rFonts w:ascii="Times New Roman" w:hAnsi="Times New Roman"/>
          <w:b/>
          <w:lang w:val="vi-VN" w:eastAsia="vi-VN"/>
        </w:rPr>
        <w:t>I. Mục tiêu</w:t>
      </w:r>
    </w:p>
    <w:p w:rsidR="004A7B6F" w:rsidRPr="00077EBC" w:rsidRDefault="00077EBC" w:rsidP="00077EBC">
      <w:pPr>
        <w:tabs>
          <w:tab w:val="left" w:pos="630"/>
        </w:tabs>
        <w:spacing w:before="60" w:after="60" w:line="264" w:lineRule="auto"/>
        <w:jc w:val="both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eastAsia="vi-VN"/>
        </w:rPr>
        <w:tab/>
      </w:r>
      <w:r w:rsidR="004A7B6F" w:rsidRPr="00723F3F">
        <w:rPr>
          <w:rFonts w:ascii="Times New Roman" w:hAnsi="Times New Roman"/>
          <w:lang w:val="vi-VN" w:eastAsia="vi-VN"/>
        </w:rPr>
        <w:t>Đánh giá tình hình thực hiện Quyết định số 535/QĐ-TTg, chỉ ra những kết quả, tiến bộ đạt được cũng như hạn chế, khó khăn, thách thức và nguyên nhân; rút ra những bài học kinh nghiệm và k</w:t>
      </w:r>
      <w:r>
        <w:rPr>
          <w:rFonts w:ascii="Times New Roman" w:hAnsi="Times New Roman"/>
          <w:lang w:eastAsia="vi-VN"/>
        </w:rPr>
        <w:t>iế</w:t>
      </w:r>
      <w:r w:rsidR="004A7B6F" w:rsidRPr="00723F3F">
        <w:rPr>
          <w:rFonts w:ascii="Times New Roman" w:hAnsi="Times New Roman"/>
          <w:lang w:val="vi-VN" w:eastAsia="vi-VN"/>
        </w:rPr>
        <w:t>n nghị các giải pháp thực hiện cho giai đoạn tiếp theo.</w:t>
      </w:r>
    </w:p>
    <w:p w:rsidR="004A7B6F" w:rsidRPr="004F5741" w:rsidRDefault="00077EBC" w:rsidP="002A78BD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ab/>
      </w:r>
      <w:r w:rsidR="004A7B6F" w:rsidRPr="004F5741">
        <w:rPr>
          <w:rFonts w:ascii="Times New Roman" w:hAnsi="Times New Roman"/>
          <w:b/>
          <w:lang w:val="vi-VN" w:eastAsia="vi-VN"/>
        </w:rPr>
        <w:t>II. Yêu cầu</w:t>
      </w:r>
    </w:p>
    <w:p w:rsidR="004A7B6F" w:rsidRPr="002A78BD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spacing w:val="-4"/>
          <w:lang w:val="vi-VN" w:eastAsia="vi-VN"/>
        </w:rPr>
      </w:pPr>
      <w:r w:rsidRPr="002A78BD">
        <w:rPr>
          <w:rFonts w:ascii="Times New Roman" w:hAnsi="Times New Roman"/>
          <w:spacing w:val="-4"/>
          <w:lang w:val="vi-VN" w:eastAsia="vi-VN"/>
        </w:rPr>
        <w:t>Việc thu thập thông tin đảm bảo tính chính xác, có trích dẫn nguồn số liệu rõ ràng</w:t>
      </w:r>
      <w:r w:rsidR="00766C1D" w:rsidRPr="002A78BD">
        <w:rPr>
          <w:rFonts w:ascii="Times New Roman" w:hAnsi="Times New Roman"/>
          <w:spacing w:val="-4"/>
          <w:lang w:eastAsia="vi-VN"/>
        </w:rPr>
        <w:t>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Số liệu mang tính cập nhật, kịp thời, phù hợp với nội dung của báo cáo.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Báo cáo đánh giá</w:t>
      </w:r>
      <w:r w:rsidR="002A78BD">
        <w:rPr>
          <w:rFonts w:ascii="Times New Roman" w:hAnsi="Times New Roman"/>
          <w:lang w:eastAsia="vi-VN"/>
        </w:rPr>
        <w:t xml:space="preserve"> </w:t>
      </w:r>
      <w:r w:rsidRPr="00723F3F">
        <w:rPr>
          <w:rFonts w:ascii="Times New Roman" w:hAnsi="Times New Roman"/>
          <w:lang w:val="vi-VN" w:eastAsia="vi-VN"/>
        </w:rPr>
        <w:t>có số liệu minh chứng, so sánh tiến</w:t>
      </w:r>
      <w:r w:rsidR="00766C1D">
        <w:rPr>
          <w:rFonts w:ascii="Times New Roman" w:hAnsi="Times New Roman"/>
          <w:lang w:val="vi-VN" w:eastAsia="vi-VN"/>
        </w:rPr>
        <w:t xml:space="preserve"> bộ đã đạt được so với báo cáo</w:t>
      </w:r>
      <w:r w:rsidR="00077EBC">
        <w:rPr>
          <w:rFonts w:ascii="Times New Roman" w:hAnsi="Times New Roman"/>
          <w:lang w:eastAsia="vi-VN"/>
        </w:rPr>
        <w:t xml:space="preserve"> những năm</w:t>
      </w:r>
      <w:r w:rsidR="00766C1D">
        <w:rPr>
          <w:rFonts w:ascii="Times New Roman" w:hAnsi="Times New Roman"/>
          <w:lang w:val="vi-VN" w:eastAsia="vi-VN"/>
        </w:rPr>
        <w:t xml:space="preserve"> </w:t>
      </w:r>
      <w:r w:rsidR="00766C1D">
        <w:rPr>
          <w:rFonts w:ascii="Times New Roman" w:hAnsi="Times New Roman"/>
          <w:lang w:eastAsia="vi-VN"/>
        </w:rPr>
        <w:t>trước đó</w:t>
      </w:r>
    </w:p>
    <w:p w:rsidR="004A7B6F" w:rsidRPr="004F5741" w:rsidRDefault="00077EBC" w:rsidP="00077EBC">
      <w:pPr>
        <w:tabs>
          <w:tab w:val="left" w:pos="567"/>
        </w:tabs>
        <w:spacing w:before="60" w:after="60" w:line="264" w:lineRule="auto"/>
        <w:ind w:firstLine="567"/>
        <w:jc w:val="both"/>
        <w:rPr>
          <w:rFonts w:ascii="Times New Roman" w:hAnsi="Times New Roman"/>
          <w:b/>
          <w:lang w:val="vi-VN" w:eastAsia="vi-VN"/>
        </w:rPr>
      </w:pPr>
      <w:r>
        <w:rPr>
          <w:rFonts w:ascii="Times New Roman" w:hAnsi="Times New Roman"/>
          <w:b/>
          <w:lang w:val="vi-VN" w:eastAsia="vi-VN"/>
        </w:rPr>
        <w:t>III. Kết cấu báo cáo</w:t>
      </w:r>
    </w:p>
    <w:p w:rsidR="004A7B6F" w:rsidRPr="00723F3F" w:rsidRDefault="004A7B6F" w:rsidP="002A78BD">
      <w:pPr>
        <w:numPr>
          <w:ilvl w:val="0"/>
          <w:numId w:val="2"/>
        </w:numPr>
        <w:tabs>
          <w:tab w:val="left" w:pos="567"/>
          <w:tab w:val="left" w:pos="851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 xml:space="preserve">Bối cảnh chung </w:t>
      </w:r>
      <w:r w:rsidR="00766C1D">
        <w:rPr>
          <w:rFonts w:ascii="Times New Roman" w:hAnsi="Times New Roman"/>
          <w:lang w:eastAsia="vi-VN"/>
        </w:rPr>
        <w:t xml:space="preserve">của bộ/ngành/địa phương gắn với từng khuyến nghị do </w:t>
      </w:r>
      <w:r w:rsidR="00766C1D" w:rsidRPr="00723F3F">
        <w:rPr>
          <w:rFonts w:ascii="Times New Roman" w:hAnsi="Times New Roman"/>
          <w:lang w:val="vi-VN" w:eastAsia="vi-VN"/>
        </w:rPr>
        <w:t xml:space="preserve">Ủy ban về quyền trẻ em </w:t>
      </w:r>
      <w:r w:rsidR="00766C1D">
        <w:rPr>
          <w:rFonts w:ascii="Times New Roman" w:hAnsi="Times New Roman"/>
          <w:lang w:eastAsia="vi-VN"/>
        </w:rPr>
        <w:t>L</w:t>
      </w:r>
      <w:r w:rsidR="00077EBC">
        <w:rPr>
          <w:rFonts w:ascii="Times New Roman" w:hAnsi="Times New Roman"/>
          <w:lang w:eastAsia="vi-VN"/>
        </w:rPr>
        <w:t>iên hợp quốc</w:t>
      </w:r>
      <w:r w:rsidR="00766C1D">
        <w:rPr>
          <w:rFonts w:ascii="Times New Roman" w:hAnsi="Times New Roman"/>
          <w:lang w:eastAsia="vi-VN"/>
        </w:rPr>
        <w:t xml:space="preserve"> </w:t>
      </w:r>
      <w:r w:rsidR="004F5741">
        <w:rPr>
          <w:rFonts w:ascii="Times New Roman" w:hAnsi="Times New Roman"/>
          <w:lang w:eastAsia="vi-VN"/>
        </w:rPr>
        <w:t>kiến</w:t>
      </w:r>
      <w:r w:rsidR="00766C1D">
        <w:rPr>
          <w:rFonts w:ascii="Times New Roman" w:hAnsi="Times New Roman"/>
          <w:lang w:eastAsia="vi-VN"/>
        </w:rPr>
        <w:t xml:space="preserve"> nghị tổ chức thực hiện</w:t>
      </w:r>
      <w:r w:rsidRPr="00723F3F">
        <w:rPr>
          <w:rFonts w:ascii="Times New Roman" w:hAnsi="Times New Roman"/>
          <w:lang w:val="vi-VN" w:eastAsia="vi-VN"/>
        </w:rPr>
        <w:t>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Phân tích tình hình</w:t>
      </w:r>
      <w:r w:rsidR="00766C1D">
        <w:rPr>
          <w:rFonts w:ascii="Times New Roman" w:hAnsi="Times New Roman"/>
          <w:lang w:eastAsia="vi-VN"/>
        </w:rPr>
        <w:t xml:space="preserve"> thực tiễn của Bộ/ngành/địa</w:t>
      </w:r>
      <w:r w:rsidR="00F168C3">
        <w:rPr>
          <w:rFonts w:ascii="Times New Roman" w:hAnsi="Times New Roman"/>
          <w:lang w:eastAsia="vi-VN"/>
        </w:rPr>
        <w:t xml:space="preserve"> </w:t>
      </w:r>
      <w:r w:rsidR="00766C1D">
        <w:rPr>
          <w:rFonts w:ascii="Times New Roman" w:hAnsi="Times New Roman"/>
          <w:lang w:eastAsia="vi-VN"/>
        </w:rPr>
        <w:t>phương</w:t>
      </w:r>
      <w:r w:rsidRPr="00723F3F">
        <w:rPr>
          <w:rFonts w:ascii="Times New Roman" w:hAnsi="Times New Roman"/>
          <w:lang w:val="vi-VN" w:eastAsia="vi-VN"/>
        </w:rPr>
        <w:t xml:space="preserve"> liên quan đến từng khuyến nghị</w:t>
      </w:r>
      <w:r w:rsidR="00F909A6">
        <w:rPr>
          <w:rFonts w:ascii="Times New Roman" w:hAnsi="Times New Roman"/>
          <w:lang w:eastAsia="vi-VN"/>
        </w:rPr>
        <w:t>.</w:t>
      </w:r>
    </w:p>
    <w:p w:rsidR="004A7B6F" w:rsidRPr="00723F3F" w:rsidRDefault="004A7B6F" w:rsidP="002A78BD">
      <w:pPr>
        <w:numPr>
          <w:ilvl w:val="0"/>
          <w:numId w:val="2"/>
        </w:numPr>
        <w:tabs>
          <w:tab w:val="left" w:pos="567"/>
          <w:tab w:val="left" w:pos="851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Tình hình triển khai thực hiện khuyến nghị của Ủy ban về quyền trẻ em theo Quyết định số 535/QĐ-TTg của Thủ tướng Chính phủ (tính đến 31/</w:t>
      </w:r>
      <w:r w:rsidR="007A6818">
        <w:rPr>
          <w:rFonts w:ascii="Times New Roman" w:hAnsi="Times New Roman"/>
          <w:lang w:eastAsia="vi-VN"/>
        </w:rPr>
        <w:t>7</w:t>
      </w:r>
      <w:r w:rsidR="007A6818">
        <w:rPr>
          <w:rFonts w:ascii="Times New Roman" w:hAnsi="Times New Roman"/>
          <w:lang w:val="vi-VN" w:eastAsia="vi-VN"/>
        </w:rPr>
        <w:t>/2020</w:t>
      </w:r>
      <w:r w:rsidR="00887B8B">
        <w:rPr>
          <w:rFonts w:ascii="Times New Roman" w:hAnsi="Times New Roman"/>
          <w:lang w:eastAsia="vi-VN"/>
        </w:rPr>
        <w:t xml:space="preserve"> và ước đạt vào ngày 31/12/2020</w:t>
      </w:r>
      <w:r w:rsidRPr="00723F3F">
        <w:rPr>
          <w:rFonts w:ascii="Times New Roman" w:hAnsi="Times New Roman"/>
          <w:lang w:val="vi-VN" w:eastAsia="vi-VN"/>
        </w:rPr>
        <w:t>).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Những kết quả, tiến bộ đã đạt được</w:t>
      </w:r>
      <w:r w:rsidR="00F909A6">
        <w:rPr>
          <w:rFonts w:ascii="Times New Roman" w:hAnsi="Times New Roman"/>
          <w:lang w:eastAsia="vi-VN"/>
        </w:rPr>
        <w:t>.</w:t>
      </w:r>
    </w:p>
    <w:p w:rsidR="004A7B6F" w:rsidRPr="00F909A6" w:rsidRDefault="004A7B6F" w:rsidP="002A78BD">
      <w:pPr>
        <w:tabs>
          <w:tab w:val="left" w:pos="567"/>
        </w:tabs>
        <w:spacing w:before="60" w:after="60" w:line="264" w:lineRule="auto"/>
        <w:ind w:firstLine="567"/>
        <w:jc w:val="both"/>
        <w:rPr>
          <w:rFonts w:ascii="Times New Roman" w:hAnsi="Times New Roman"/>
          <w:lang w:eastAsia="vi-VN"/>
        </w:rPr>
      </w:pPr>
      <w:r w:rsidRPr="00723F3F">
        <w:rPr>
          <w:rFonts w:ascii="Times New Roman" w:hAnsi="Times New Roman"/>
          <w:lang w:val="vi-VN" w:eastAsia="vi-VN"/>
        </w:rPr>
        <w:t>+ Làm rõ nỗ lực của</w:t>
      </w:r>
      <w:r w:rsidR="00766C1D">
        <w:rPr>
          <w:rFonts w:ascii="Times New Roman" w:hAnsi="Times New Roman"/>
          <w:lang w:eastAsia="vi-VN"/>
        </w:rPr>
        <w:t xml:space="preserve"> bộ/ngành/địa phương</w:t>
      </w:r>
      <w:r w:rsidRPr="00723F3F">
        <w:rPr>
          <w:rFonts w:ascii="Times New Roman" w:hAnsi="Times New Roman"/>
          <w:lang w:val="vi-VN" w:eastAsia="vi-VN"/>
        </w:rPr>
        <w:t xml:space="preserve"> trong việc thực hiện khuyến nghị</w:t>
      </w:r>
      <w:r w:rsidR="00F909A6">
        <w:rPr>
          <w:rFonts w:ascii="Times New Roman" w:hAnsi="Times New Roman"/>
          <w:lang w:eastAsia="vi-VN"/>
        </w:rPr>
        <w:t>.</w:t>
      </w:r>
    </w:p>
    <w:p w:rsidR="004A7B6F" w:rsidRPr="00723F3F" w:rsidRDefault="004A7B6F" w:rsidP="002A78BD">
      <w:pPr>
        <w:tabs>
          <w:tab w:val="left" w:pos="567"/>
        </w:tabs>
        <w:spacing w:before="60" w:after="60" w:line="264" w:lineRule="auto"/>
        <w:ind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+ Phân tích</w:t>
      </w:r>
      <w:r w:rsidR="002A78BD">
        <w:rPr>
          <w:rFonts w:ascii="Times New Roman" w:hAnsi="Times New Roman"/>
          <w:lang w:eastAsia="vi-VN"/>
        </w:rPr>
        <w:t>,</w:t>
      </w:r>
      <w:r w:rsidRPr="00723F3F">
        <w:rPr>
          <w:rFonts w:ascii="Times New Roman" w:hAnsi="Times New Roman"/>
          <w:lang w:val="vi-VN" w:eastAsia="vi-VN"/>
        </w:rPr>
        <w:t xml:space="preserve"> làm rõ những kết quả, tiến bộ đạt được cho từng khuyến nghị về khung khổ pháp lý, cơ chế, chính sách, sự phối hợp thực h</w:t>
      </w:r>
      <w:r w:rsidR="00612673">
        <w:rPr>
          <w:rFonts w:ascii="Times New Roman" w:hAnsi="Times New Roman"/>
          <w:lang w:eastAsia="vi-VN"/>
        </w:rPr>
        <w:t xml:space="preserve">iện </w:t>
      </w:r>
      <w:r w:rsidRPr="00723F3F">
        <w:rPr>
          <w:rFonts w:ascii="Times New Roman" w:hAnsi="Times New Roman"/>
          <w:lang w:val="vi-VN" w:eastAsia="vi-VN"/>
        </w:rPr>
        <w:t>phân bổ nguồn lực, truyền thông nâng cao nhận thức, tập huấn năng lực cán bộ, xây dựng cơ sở dữ liệu, theo dõi đánh giá.</w:t>
      </w:r>
    </w:p>
    <w:p w:rsidR="004A7B6F" w:rsidRPr="00077EBC" w:rsidRDefault="004A7B6F" w:rsidP="00077EBC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Thách thức, khó khăn:</w:t>
      </w:r>
      <w:r w:rsidR="00077EBC">
        <w:rPr>
          <w:rFonts w:ascii="Times New Roman" w:hAnsi="Times New Roman"/>
          <w:lang w:eastAsia="vi-VN"/>
        </w:rPr>
        <w:t xml:space="preserve"> </w:t>
      </w:r>
      <w:r w:rsidRPr="00077EBC">
        <w:rPr>
          <w:rFonts w:ascii="Times New Roman" w:hAnsi="Times New Roman"/>
          <w:lang w:val="vi-VN" w:eastAsia="vi-VN"/>
        </w:rPr>
        <w:t xml:space="preserve">Làm rõ những thách thức, khó khăn trong việc thực hiện từng khuyến nghị về nhận thức, tâm lý, tập quán, tính đặc thù của </w:t>
      </w:r>
      <w:r w:rsidR="00766C1D" w:rsidRPr="00077EBC">
        <w:rPr>
          <w:rFonts w:ascii="Times New Roman" w:hAnsi="Times New Roman"/>
          <w:lang w:eastAsia="vi-VN"/>
        </w:rPr>
        <w:t>bộ/ngành</w:t>
      </w:r>
      <w:r w:rsidRPr="00077EBC">
        <w:rPr>
          <w:rFonts w:ascii="Times New Roman" w:hAnsi="Times New Roman"/>
          <w:lang w:val="vi-VN" w:eastAsia="vi-VN"/>
        </w:rPr>
        <w:t>/địa phương; tính nhất quán của hệ thống pháp luật, chính sách và tổ chức thực hiện</w:t>
      </w:r>
      <w:r w:rsidR="00766C1D" w:rsidRPr="00077EBC">
        <w:rPr>
          <w:rFonts w:ascii="Times New Roman" w:hAnsi="Times New Roman"/>
          <w:lang w:val="vi-VN" w:eastAsia="vi-VN"/>
        </w:rPr>
        <w:t>.</w:t>
      </w:r>
    </w:p>
    <w:p w:rsidR="004A7B6F" w:rsidRPr="00723F3F" w:rsidRDefault="004A7B6F" w:rsidP="002A78BD">
      <w:pPr>
        <w:numPr>
          <w:ilvl w:val="0"/>
          <w:numId w:val="2"/>
        </w:numPr>
        <w:tabs>
          <w:tab w:val="left" w:pos="567"/>
        </w:tabs>
        <w:spacing w:before="60" w:after="60" w:line="264" w:lineRule="auto"/>
        <w:ind w:left="0" w:firstLine="360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Định hướng, giải pháp tiếp tục thực hiện khuyến nghị theo Quyết định số 535/QĐ-TTg</w:t>
      </w:r>
      <w:r w:rsidR="004F5741">
        <w:rPr>
          <w:rFonts w:ascii="Times New Roman" w:hAnsi="Times New Roman"/>
          <w:lang w:eastAsia="vi-VN"/>
        </w:rPr>
        <w:t>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Làm rõ quan điểm, định hướng, giải pháp, lộ trình thực hiện từng khuyến nghị.</w:t>
      </w:r>
    </w:p>
    <w:p w:rsidR="004A7B6F" w:rsidRPr="00723F3F" w:rsidRDefault="004A7B6F" w:rsidP="002A78BD">
      <w:pPr>
        <w:numPr>
          <w:ilvl w:val="0"/>
          <w:numId w:val="1"/>
        </w:numPr>
        <w:tabs>
          <w:tab w:val="left" w:pos="567"/>
        </w:tabs>
        <w:spacing w:before="60" w:after="60" w:line="264" w:lineRule="auto"/>
        <w:ind w:left="0" w:firstLine="567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Đề xuất</w:t>
      </w:r>
      <w:r w:rsidR="00766C1D">
        <w:rPr>
          <w:rFonts w:ascii="Times New Roman" w:hAnsi="Times New Roman"/>
          <w:lang w:eastAsia="vi-VN"/>
        </w:rPr>
        <w:t>, kiến nghị với</w:t>
      </w:r>
      <w:r w:rsidRPr="00723F3F">
        <w:rPr>
          <w:rFonts w:ascii="Times New Roman" w:hAnsi="Times New Roman"/>
          <w:lang w:val="vi-VN" w:eastAsia="vi-VN"/>
        </w:rPr>
        <w:t xml:space="preserve"> các tổ chức quốc tế (nếu có).</w:t>
      </w:r>
    </w:p>
    <w:p w:rsidR="004A7B6F" w:rsidRPr="00723F3F" w:rsidRDefault="004A7B6F" w:rsidP="002A78BD">
      <w:pPr>
        <w:numPr>
          <w:ilvl w:val="0"/>
          <w:numId w:val="2"/>
        </w:numPr>
        <w:spacing w:before="60" w:after="60" w:line="264" w:lineRule="auto"/>
        <w:ind w:left="0" w:firstLine="360"/>
        <w:jc w:val="both"/>
        <w:rPr>
          <w:rFonts w:ascii="Times New Roman" w:hAnsi="Times New Roman"/>
          <w:lang w:val="vi-VN" w:eastAsia="vi-VN"/>
        </w:rPr>
      </w:pPr>
      <w:r w:rsidRPr="00723F3F">
        <w:rPr>
          <w:rFonts w:ascii="Times New Roman" w:hAnsi="Times New Roman"/>
          <w:lang w:val="vi-VN" w:eastAsia="vi-VN"/>
        </w:rPr>
        <w:t>Đề xuất k</w:t>
      </w:r>
      <w:r w:rsidR="00077EBC">
        <w:rPr>
          <w:rFonts w:ascii="Times New Roman" w:hAnsi="Times New Roman"/>
          <w:lang w:eastAsia="vi-VN"/>
        </w:rPr>
        <w:t>i</w:t>
      </w:r>
      <w:r w:rsidRPr="00723F3F">
        <w:rPr>
          <w:rFonts w:ascii="Times New Roman" w:hAnsi="Times New Roman"/>
          <w:lang w:val="vi-VN" w:eastAsia="vi-VN"/>
        </w:rPr>
        <w:t xml:space="preserve">ến nghị với Chính phủ, các bộ, ngành về việc </w:t>
      </w:r>
      <w:r w:rsidR="00CF0318">
        <w:rPr>
          <w:rFonts w:ascii="Times New Roman" w:hAnsi="Times New Roman"/>
          <w:lang w:eastAsia="vi-VN"/>
        </w:rPr>
        <w:t xml:space="preserve">tiếp tục </w:t>
      </w:r>
      <w:r w:rsidRPr="00723F3F">
        <w:rPr>
          <w:rFonts w:ascii="Times New Roman" w:hAnsi="Times New Roman"/>
          <w:lang w:val="vi-VN" w:eastAsia="vi-VN"/>
        </w:rPr>
        <w:t xml:space="preserve">thực hiện </w:t>
      </w:r>
      <w:r w:rsidR="00CF0318">
        <w:rPr>
          <w:rFonts w:ascii="Times New Roman" w:hAnsi="Times New Roman"/>
          <w:lang w:eastAsia="vi-VN"/>
        </w:rPr>
        <w:t xml:space="preserve">những nhiệm vụ liên quan tới </w:t>
      </w:r>
      <w:r w:rsidR="002A78BD">
        <w:rPr>
          <w:rFonts w:ascii="Times New Roman" w:hAnsi="Times New Roman"/>
          <w:lang w:eastAsia="vi-VN"/>
        </w:rPr>
        <w:t xml:space="preserve">trách nhiệm bảo đảm thực hiện </w:t>
      </w:r>
      <w:r w:rsidR="00CF0318">
        <w:rPr>
          <w:rFonts w:ascii="Times New Roman" w:hAnsi="Times New Roman"/>
          <w:lang w:eastAsia="vi-VN"/>
        </w:rPr>
        <w:t>quyền trẻ em</w:t>
      </w:r>
      <w:r w:rsidR="004F5741">
        <w:rPr>
          <w:rFonts w:ascii="Times New Roman" w:hAnsi="Times New Roman"/>
          <w:lang w:eastAsia="vi-VN"/>
        </w:rPr>
        <w:t>.</w:t>
      </w:r>
      <w:r w:rsidR="00F243E8">
        <w:rPr>
          <w:rFonts w:ascii="Times New Roman" w:hAnsi="Times New Roman"/>
          <w:lang w:eastAsia="vi-VN"/>
        </w:rPr>
        <w:t>/.</w:t>
      </w:r>
    </w:p>
    <w:p w:rsidR="00FF5C51" w:rsidRDefault="00FF5C51"/>
    <w:sectPr w:rsidR="00FF5C51" w:rsidSect="002A78BD">
      <w:pgSz w:w="11907" w:h="16840" w:code="9"/>
      <w:pgMar w:top="900" w:right="101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68A"/>
    <w:multiLevelType w:val="hybridMultilevel"/>
    <w:tmpl w:val="29085EC0"/>
    <w:lvl w:ilvl="0" w:tplc="5810E9F6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>
    <w:nsid w:val="04567923"/>
    <w:multiLevelType w:val="hybridMultilevel"/>
    <w:tmpl w:val="C844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F"/>
    <w:rsid w:val="00077EBC"/>
    <w:rsid w:val="001C1B33"/>
    <w:rsid w:val="002A78BD"/>
    <w:rsid w:val="003645CB"/>
    <w:rsid w:val="004A7B6F"/>
    <w:rsid w:val="004F5741"/>
    <w:rsid w:val="005529E5"/>
    <w:rsid w:val="005A0D0D"/>
    <w:rsid w:val="00612673"/>
    <w:rsid w:val="00766C1D"/>
    <w:rsid w:val="007A6818"/>
    <w:rsid w:val="00887B8B"/>
    <w:rsid w:val="00CF0318"/>
    <w:rsid w:val="00F168C3"/>
    <w:rsid w:val="00F243E8"/>
    <w:rsid w:val="00F27251"/>
    <w:rsid w:val="00F909A6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4E49C-3739-43FF-97BD-CBCC853C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C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45C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Windows User</cp:lastModifiedBy>
  <cp:revision>3</cp:revision>
  <cp:lastPrinted>2020-07-31T04:28:00Z</cp:lastPrinted>
  <dcterms:created xsi:type="dcterms:W3CDTF">2020-08-17T04:17:00Z</dcterms:created>
  <dcterms:modified xsi:type="dcterms:W3CDTF">2020-08-17T07:39:00Z</dcterms:modified>
</cp:coreProperties>
</file>