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Ind w:w="-72" w:type="dxa"/>
        <w:tblCellMar>
          <w:left w:w="0" w:type="dxa"/>
          <w:right w:w="0" w:type="dxa"/>
        </w:tblCellMar>
        <w:tblLook w:val="04A0" w:firstRow="1" w:lastRow="0" w:firstColumn="1" w:lastColumn="0" w:noHBand="0" w:noVBand="1"/>
      </w:tblPr>
      <w:tblGrid>
        <w:gridCol w:w="4050"/>
        <w:gridCol w:w="5580"/>
      </w:tblGrid>
      <w:tr w:rsidR="00D14168" w:rsidRPr="005924FC" w:rsidTr="000514B5">
        <w:tc>
          <w:tcPr>
            <w:tcW w:w="4050" w:type="dxa"/>
            <w:tcMar>
              <w:top w:w="0" w:type="dxa"/>
              <w:left w:w="108" w:type="dxa"/>
              <w:bottom w:w="0" w:type="dxa"/>
              <w:right w:w="108" w:type="dxa"/>
            </w:tcMar>
            <w:hideMark/>
          </w:tcPr>
          <w:p w:rsidR="00901748" w:rsidRDefault="00D14168" w:rsidP="006F6DA8">
            <w:pPr>
              <w:pStyle w:val="NormalWeb"/>
              <w:spacing w:before="0" w:beforeAutospacing="0" w:after="0" w:afterAutospacing="0"/>
              <w:jc w:val="center"/>
              <w:rPr>
                <w:b/>
                <w:bCs/>
                <w:szCs w:val="20"/>
              </w:rPr>
            </w:pPr>
            <w:r w:rsidRPr="005924FC">
              <w:rPr>
                <w:b/>
                <w:bCs/>
                <w:szCs w:val="20"/>
              </w:rPr>
              <w:t xml:space="preserve">BỘ </w:t>
            </w:r>
            <w:r w:rsidR="00901748">
              <w:rPr>
                <w:b/>
                <w:bCs/>
                <w:szCs w:val="20"/>
              </w:rPr>
              <w:t>LAO Đ</w:t>
            </w:r>
            <w:r w:rsidR="00901748" w:rsidRPr="00901748">
              <w:rPr>
                <w:b/>
                <w:bCs/>
                <w:szCs w:val="20"/>
              </w:rPr>
              <w:t>ỘNG</w:t>
            </w:r>
            <w:r w:rsidR="00901748">
              <w:rPr>
                <w:b/>
                <w:bCs/>
                <w:szCs w:val="20"/>
              </w:rPr>
              <w:t xml:space="preserve"> – TH</w:t>
            </w:r>
            <w:r w:rsidR="00901748" w:rsidRPr="00901748">
              <w:rPr>
                <w:b/>
                <w:bCs/>
                <w:szCs w:val="20"/>
              </w:rPr>
              <w:t>ƯƠ</w:t>
            </w:r>
            <w:r w:rsidR="00901748">
              <w:rPr>
                <w:b/>
                <w:bCs/>
                <w:szCs w:val="20"/>
              </w:rPr>
              <w:t>NG BINH</w:t>
            </w:r>
          </w:p>
          <w:p w:rsidR="006F6DA8" w:rsidRDefault="00901748" w:rsidP="00D14168">
            <w:pPr>
              <w:pStyle w:val="NormalWeb"/>
              <w:spacing w:before="0" w:beforeAutospacing="0" w:after="0" w:afterAutospacing="0"/>
              <w:jc w:val="center"/>
              <w:rPr>
                <w:b/>
                <w:bCs/>
                <w:szCs w:val="20"/>
              </w:rPr>
            </w:pPr>
            <w:r>
              <w:rPr>
                <w:b/>
                <w:bCs/>
                <w:szCs w:val="20"/>
              </w:rPr>
              <w:t>V</w:t>
            </w:r>
            <w:r w:rsidRPr="00901748">
              <w:rPr>
                <w:b/>
                <w:bCs/>
                <w:szCs w:val="20"/>
              </w:rPr>
              <w:t>À</w:t>
            </w:r>
            <w:r>
              <w:rPr>
                <w:b/>
                <w:bCs/>
                <w:szCs w:val="20"/>
              </w:rPr>
              <w:t xml:space="preserve"> X</w:t>
            </w:r>
            <w:r w:rsidRPr="00901748">
              <w:rPr>
                <w:b/>
                <w:bCs/>
                <w:szCs w:val="20"/>
              </w:rPr>
              <w:t>Ã</w:t>
            </w:r>
            <w:r>
              <w:rPr>
                <w:b/>
                <w:bCs/>
                <w:szCs w:val="20"/>
              </w:rPr>
              <w:t xml:space="preserve"> H</w:t>
            </w:r>
            <w:r w:rsidRPr="00901748">
              <w:rPr>
                <w:b/>
                <w:bCs/>
                <w:szCs w:val="20"/>
              </w:rPr>
              <w:t>ỘI</w:t>
            </w:r>
          </w:p>
          <w:p w:rsidR="005669AC" w:rsidRPr="006F6DA8" w:rsidRDefault="007E7789" w:rsidP="006F6DA8">
            <w:pPr>
              <w:pStyle w:val="NormalWeb"/>
              <w:spacing w:before="0" w:beforeAutospacing="0" w:after="0" w:afterAutospacing="0"/>
              <w:jc w:val="center"/>
              <w:rPr>
                <w:b/>
                <w:bCs/>
                <w:szCs w:val="20"/>
              </w:rPr>
            </w:pPr>
            <w:r>
              <w:rPr>
                <w:b/>
                <w:bCs/>
                <w:noProof/>
                <w:szCs w:val="20"/>
              </w:rPr>
              <w:pict>
                <v:shapetype id="_x0000_t32" coordsize="21600,21600" o:spt="32" o:oned="t" path="m,l21600,21600e" filled="f">
                  <v:path arrowok="t" fillok="f" o:connecttype="none"/>
                  <o:lock v:ext="edit" shapetype="t"/>
                </v:shapetype>
                <v:shape id="_x0000_s1030" type="#_x0000_t32" style="position:absolute;left:0;text-align:left;margin-left:67.05pt;margin-top:2.7pt;width:54pt;height:0;z-index:251662336" o:connectortype="straight"/>
              </w:pict>
            </w:r>
          </w:p>
          <w:p w:rsidR="00D14168" w:rsidRPr="005924FC" w:rsidRDefault="00901748" w:rsidP="000C7863">
            <w:pPr>
              <w:pStyle w:val="NormalWeb"/>
              <w:spacing w:before="0" w:beforeAutospacing="0" w:after="0" w:afterAutospacing="0"/>
              <w:jc w:val="center"/>
              <w:rPr>
                <w:szCs w:val="20"/>
              </w:rPr>
            </w:pPr>
            <w:r w:rsidRPr="005669AC">
              <w:rPr>
                <w:sz w:val="26"/>
                <w:szCs w:val="20"/>
              </w:rPr>
              <w:t>Số:</w:t>
            </w:r>
            <w:r w:rsidR="0058598D">
              <w:rPr>
                <w:sz w:val="26"/>
                <w:szCs w:val="20"/>
              </w:rPr>
              <w:t xml:space="preserve"> </w:t>
            </w:r>
            <w:r w:rsidR="000C7863">
              <w:rPr>
                <w:sz w:val="26"/>
                <w:szCs w:val="20"/>
              </w:rPr>
              <w:t xml:space="preserve">      /2020</w:t>
            </w:r>
            <w:r w:rsidR="006625B5">
              <w:rPr>
                <w:sz w:val="26"/>
                <w:szCs w:val="20"/>
              </w:rPr>
              <w:t>/</w:t>
            </w:r>
            <w:r w:rsidR="0054445B">
              <w:rPr>
                <w:sz w:val="26"/>
                <w:szCs w:val="20"/>
              </w:rPr>
              <w:t>TT</w:t>
            </w:r>
            <w:r w:rsidR="006625B5">
              <w:rPr>
                <w:sz w:val="26"/>
                <w:szCs w:val="20"/>
              </w:rPr>
              <w:t>-</w:t>
            </w:r>
            <w:r w:rsidR="0054445B">
              <w:rPr>
                <w:sz w:val="26"/>
                <w:szCs w:val="20"/>
              </w:rPr>
              <w:t>B</w:t>
            </w:r>
            <w:r w:rsidRPr="005669AC">
              <w:rPr>
                <w:sz w:val="26"/>
                <w:szCs w:val="20"/>
              </w:rPr>
              <w:t>LĐTBXH</w:t>
            </w:r>
          </w:p>
        </w:tc>
        <w:tc>
          <w:tcPr>
            <w:tcW w:w="5580" w:type="dxa"/>
            <w:tcMar>
              <w:top w:w="0" w:type="dxa"/>
              <w:left w:w="108" w:type="dxa"/>
              <w:bottom w:w="0" w:type="dxa"/>
              <w:right w:w="108" w:type="dxa"/>
            </w:tcMar>
            <w:hideMark/>
          </w:tcPr>
          <w:p w:rsidR="006F6DA8" w:rsidRDefault="00D14168" w:rsidP="00D14168">
            <w:pPr>
              <w:pStyle w:val="NormalWeb"/>
              <w:spacing w:before="0" w:beforeAutospacing="0" w:after="0" w:afterAutospacing="0"/>
              <w:jc w:val="center"/>
              <w:rPr>
                <w:b/>
                <w:bCs/>
                <w:sz w:val="26"/>
                <w:szCs w:val="20"/>
              </w:rPr>
            </w:pPr>
            <w:r w:rsidRPr="005924FC">
              <w:rPr>
                <w:b/>
                <w:bCs/>
                <w:szCs w:val="20"/>
              </w:rPr>
              <w:t>CỘNG HÒA XÃ HỘI CHỦ NGHĨA VIỆT NAM</w:t>
            </w:r>
            <w:r w:rsidRPr="005924FC">
              <w:rPr>
                <w:b/>
                <w:bCs/>
                <w:szCs w:val="20"/>
              </w:rPr>
              <w:br/>
            </w:r>
            <w:r w:rsidRPr="005669AC">
              <w:rPr>
                <w:b/>
                <w:bCs/>
                <w:sz w:val="26"/>
                <w:szCs w:val="20"/>
              </w:rPr>
              <w:t>Độc lập - Tự do - Hạnh phúc</w:t>
            </w:r>
          </w:p>
          <w:p w:rsidR="005669AC" w:rsidRPr="00943615" w:rsidRDefault="007E7789" w:rsidP="00943615">
            <w:pPr>
              <w:pStyle w:val="NormalWeb"/>
              <w:spacing w:before="0" w:beforeAutospacing="0" w:after="0" w:afterAutospacing="0"/>
              <w:rPr>
                <w:b/>
                <w:bCs/>
                <w:szCs w:val="20"/>
              </w:rPr>
            </w:pPr>
            <w:r>
              <w:rPr>
                <w:b/>
                <w:bCs/>
                <w:noProof/>
                <w:sz w:val="26"/>
                <w:szCs w:val="20"/>
              </w:rPr>
              <w:pict>
                <v:shape id="_x0000_s1028" type="#_x0000_t32" style="position:absolute;margin-left:73.8pt;margin-top:3.85pt;width:117pt;height:0;z-index:251660288" o:connectortype="straight"/>
              </w:pict>
            </w:r>
          </w:p>
          <w:p w:rsidR="00D14168" w:rsidRPr="000E056F" w:rsidRDefault="00D14168" w:rsidP="000E056F">
            <w:pPr>
              <w:pStyle w:val="NormalWeb"/>
              <w:spacing w:before="0" w:beforeAutospacing="0" w:after="0" w:afterAutospacing="0"/>
              <w:jc w:val="center"/>
              <w:rPr>
                <w:i/>
                <w:sz w:val="28"/>
                <w:szCs w:val="28"/>
              </w:rPr>
            </w:pPr>
            <w:r w:rsidRPr="000E056F">
              <w:rPr>
                <w:i/>
                <w:iCs/>
                <w:sz w:val="28"/>
                <w:szCs w:val="28"/>
              </w:rPr>
              <w:t>Hà Nội, ngày</w:t>
            </w:r>
            <w:r w:rsidR="0058598D" w:rsidRPr="000E056F">
              <w:rPr>
                <w:i/>
                <w:iCs/>
                <w:sz w:val="28"/>
                <w:szCs w:val="28"/>
              </w:rPr>
              <w:t xml:space="preserve"> </w:t>
            </w:r>
            <w:r w:rsidR="000C7863" w:rsidRPr="000E056F">
              <w:rPr>
                <w:i/>
                <w:iCs/>
                <w:sz w:val="28"/>
                <w:szCs w:val="28"/>
              </w:rPr>
              <w:t xml:space="preserve">    </w:t>
            </w:r>
            <w:r w:rsidRPr="000E056F">
              <w:rPr>
                <w:i/>
                <w:iCs/>
                <w:sz w:val="28"/>
                <w:szCs w:val="28"/>
              </w:rPr>
              <w:t xml:space="preserve"> tháng</w:t>
            </w:r>
            <w:r w:rsidR="0058598D" w:rsidRPr="000E056F">
              <w:rPr>
                <w:i/>
                <w:iCs/>
                <w:sz w:val="28"/>
                <w:szCs w:val="28"/>
              </w:rPr>
              <w:t xml:space="preserve"> </w:t>
            </w:r>
            <w:r w:rsidR="000C7863" w:rsidRPr="000E056F">
              <w:rPr>
                <w:i/>
                <w:iCs/>
                <w:sz w:val="28"/>
                <w:szCs w:val="28"/>
              </w:rPr>
              <w:t xml:space="preserve">   </w:t>
            </w:r>
            <w:r w:rsidR="0058598D" w:rsidRPr="000E056F">
              <w:rPr>
                <w:i/>
                <w:iCs/>
                <w:sz w:val="28"/>
                <w:szCs w:val="28"/>
              </w:rPr>
              <w:t xml:space="preserve"> </w:t>
            </w:r>
            <w:r w:rsidRPr="000E056F">
              <w:rPr>
                <w:i/>
                <w:iCs/>
                <w:sz w:val="28"/>
                <w:szCs w:val="28"/>
              </w:rPr>
              <w:t>năm 20</w:t>
            </w:r>
            <w:r w:rsidR="000C7863" w:rsidRPr="000E056F">
              <w:rPr>
                <w:i/>
                <w:iCs/>
                <w:sz w:val="28"/>
                <w:szCs w:val="28"/>
              </w:rPr>
              <w:t>20</w:t>
            </w:r>
          </w:p>
        </w:tc>
      </w:tr>
    </w:tbl>
    <w:p w:rsidR="00D14168" w:rsidRPr="005924FC" w:rsidRDefault="00D14168" w:rsidP="00FC2E4F">
      <w:pPr>
        <w:pStyle w:val="NormalWeb"/>
        <w:spacing w:before="0" w:beforeAutospacing="0" w:after="0" w:afterAutospacing="0"/>
        <w:rPr>
          <w:szCs w:val="20"/>
        </w:rPr>
      </w:pPr>
      <w:r w:rsidRPr="005924FC">
        <w:rPr>
          <w:b/>
          <w:bCs/>
          <w:szCs w:val="20"/>
        </w:rPr>
        <w:t> </w:t>
      </w:r>
    </w:p>
    <w:p w:rsidR="00A50538" w:rsidRPr="004C43C9" w:rsidRDefault="0054445B" w:rsidP="00B725A4">
      <w:pPr>
        <w:pStyle w:val="NormalWeb"/>
        <w:spacing w:before="360" w:beforeAutospacing="0" w:after="0" w:afterAutospacing="0"/>
        <w:jc w:val="center"/>
        <w:rPr>
          <w:sz w:val="28"/>
          <w:szCs w:val="20"/>
        </w:rPr>
      </w:pPr>
      <w:r>
        <w:rPr>
          <w:b/>
          <w:bCs/>
          <w:sz w:val="28"/>
          <w:szCs w:val="20"/>
        </w:rPr>
        <w:t>THÔNG TƯ</w:t>
      </w:r>
    </w:p>
    <w:p w:rsidR="00A50538" w:rsidRDefault="0054445B" w:rsidP="00C214B5">
      <w:pPr>
        <w:pStyle w:val="NormalWeb"/>
        <w:spacing w:before="0" w:beforeAutospacing="0" w:after="0" w:afterAutospacing="0"/>
        <w:jc w:val="center"/>
        <w:rPr>
          <w:b/>
          <w:sz w:val="28"/>
          <w:szCs w:val="20"/>
        </w:rPr>
      </w:pPr>
      <w:r>
        <w:rPr>
          <w:b/>
          <w:sz w:val="28"/>
          <w:szCs w:val="20"/>
        </w:rPr>
        <w:t>B</w:t>
      </w:r>
      <w:r w:rsidR="00C214B5" w:rsidRPr="00C214B5">
        <w:rPr>
          <w:b/>
          <w:sz w:val="28"/>
          <w:szCs w:val="20"/>
        </w:rPr>
        <w:t>ãi</w:t>
      </w:r>
      <w:r w:rsidR="00C214B5">
        <w:rPr>
          <w:b/>
          <w:sz w:val="28"/>
          <w:szCs w:val="20"/>
        </w:rPr>
        <w:t xml:space="preserve"> b</w:t>
      </w:r>
      <w:r w:rsidR="00C214B5" w:rsidRPr="00C214B5">
        <w:rPr>
          <w:b/>
          <w:sz w:val="28"/>
          <w:szCs w:val="20"/>
        </w:rPr>
        <w:t>ỏ</w:t>
      </w:r>
      <w:r w:rsidR="00C214B5">
        <w:rPr>
          <w:b/>
          <w:sz w:val="28"/>
          <w:szCs w:val="20"/>
        </w:rPr>
        <w:t xml:space="preserve"> v</w:t>
      </w:r>
      <w:r w:rsidR="00C214B5" w:rsidRPr="00C214B5">
        <w:rPr>
          <w:b/>
          <w:sz w:val="28"/>
          <w:szCs w:val="20"/>
        </w:rPr>
        <w:t>ăn</w:t>
      </w:r>
      <w:r w:rsidR="00C214B5">
        <w:rPr>
          <w:b/>
          <w:sz w:val="28"/>
          <w:szCs w:val="20"/>
        </w:rPr>
        <w:t xml:space="preserve"> b</w:t>
      </w:r>
      <w:r w:rsidR="00C214B5" w:rsidRPr="00C214B5">
        <w:rPr>
          <w:b/>
          <w:sz w:val="28"/>
          <w:szCs w:val="20"/>
        </w:rPr>
        <w:t>ản</w:t>
      </w:r>
      <w:r w:rsidR="00C214B5">
        <w:rPr>
          <w:b/>
          <w:sz w:val="28"/>
          <w:szCs w:val="20"/>
        </w:rPr>
        <w:t xml:space="preserve"> quy ph</w:t>
      </w:r>
      <w:r w:rsidR="00C214B5" w:rsidRPr="00C214B5">
        <w:rPr>
          <w:b/>
          <w:sz w:val="28"/>
          <w:szCs w:val="20"/>
        </w:rPr>
        <w:t>ạm</w:t>
      </w:r>
      <w:r w:rsidR="00C214B5">
        <w:rPr>
          <w:b/>
          <w:sz w:val="28"/>
          <w:szCs w:val="20"/>
        </w:rPr>
        <w:t xml:space="preserve"> ph</w:t>
      </w:r>
      <w:r w:rsidR="00C214B5" w:rsidRPr="00C214B5">
        <w:rPr>
          <w:b/>
          <w:sz w:val="28"/>
          <w:szCs w:val="20"/>
        </w:rPr>
        <w:t>áp</w:t>
      </w:r>
      <w:r w:rsidR="00C214B5">
        <w:rPr>
          <w:b/>
          <w:sz w:val="28"/>
          <w:szCs w:val="20"/>
        </w:rPr>
        <w:t xml:space="preserve"> lu</w:t>
      </w:r>
      <w:r w:rsidR="00C214B5" w:rsidRPr="00C214B5">
        <w:rPr>
          <w:b/>
          <w:sz w:val="28"/>
          <w:szCs w:val="20"/>
        </w:rPr>
        <w:t>ật</w:t>
      </w:r>
      <w:r w:rsidR="00C214B5">
        <w:rPr>
          <w:b/>
          <w:sz w:val="28"/>
          <w:szCs w:val="20"/>
        </w:rPr>
        <w:t xml:space="preserve"> </w:t>
      </w:r>
      <w:r>
        <w:rPr>
          <w:b/>
          <w:sz w:val="28"/>
          <w:szCs w:val="20"/>
        </w:rPr>
        <w:t xml:space="preserve">do Bộ trưởng Bộ Lao động </w:t>
      </w:r>
      <w:r w:rsidR="006574E2">
        <w:rPr>
          <w:b/>
          <w:sz w:val="28"/>
          <w:szCs w:val="20"/>
        </w:rPr>
        <w:t>-</w:t>
      </w:r>
      <w:r>
        <w:rPr>
          <w:b/>
          <w:sz w:val="28"/>
          <w:szCs w:val="20"/>
        </w:rPr>
        <w:t xml:space="preserve"> </w:t>
      </w:r>
      <w:r w:rsidR="006574E2">
        <w:rPr>
          <w:b/>
          <w:sz w:val="28"/>
          <w:szCs w:val="20"/>
        </w:rPr>
        <w:t xml:space="preserve">                        </w:t>
      </w:r>
      <w:r>
        <w:rPr>
          <w:b/>
          <w:sz w:val="28"/>
          <w:szCs w:val="20"/>
        </w:rPr>
        <w:t>Thương binh và Xã hội ban hành, liên tịch ban hành</w:t>
      </w:r>
    </w:p>
    <w:p w:rsidR="00A50538" w:rsidRPr="000A4DF0" w:rsidRDefault="007E7789" w:rsidP="000A4DF0">
      <w:pPr>
        <w:pStyle w:val="NormalWeb"/>
        <w:spacing w:before="0" w:beforeAutospacing="0" w:after="0" w:afterAutospacing="0"/>
        <w:rPr>
          <w:b/>
          <w:sz w:val="28"/>
          <w:szCs w:val="20"/>
        </w:rPr>
      </w:pPr>
      <w:r>
        <w:rPr>
          <w:b/>
          <w:noProof/>
          <w:sz w:val="28"/>
          <w:szCs w:val="20"/>
        </w:rPr>
        <w:pict>
          <v:shape id="_x0000_s1029" type="#_x0000_t32" style="position:absolute;margin-left:148.7pt;margin-top:3pt;width:150.75pt;height:0;z-index:251661312" o:connectortype="straight"/>
        </w:pict>
      </w:r>
    </w:p>
    <w:p w:rsidR="00D14168" w:rsidRPr="00EE7D40" w:rsidRDefault="00D14168" w:rsidP="00A167B9">
      <w:pPr>
        <w:pStyle w:val="NormalWeb"/>
        <w:spacing w:before="240" w:beforeAutospacing="0" w:after="240" w:afterAutospacing="0"/>
        <w:jc w:val="center"/>
        <w:rPr>
          <w:b/>
          <w:bCs/>
          <w:sz w:val="28"/>
          <w:szCs w:val="20"/>
        </w:rPr>
      </w:pPr>
      <w:r w:rsidRPr="005F42A8">
        <w:rPr>
          <w:b/>
          <w:bCs/>
          <w:sz w:val="28"/>
          <w:szCs w:val="20"/>
        </w:rPr>
        <w:t xml:space="preserve">BỘ TRƯỞNG BỘ </w:t>
      </w:r>
      <w:r w:rsidR="006837E0" w:rsidRPr="005F42A8">
        <w:rPr>
          <w:b/>
          <w:bCs/>
          <w:sz w:val="28"/>
          <w:szCs w:val="20"/>
        </w:rPr>
        <w:t xml:space="preserve">LAO ĐỘNG – THƯƠNG BINH VÀ XÃ HỘI </w:t>
      </w:r>
    </w:p>
    <w:p w:rsidR="00D14168" w:rsidRPr="00A167B9" w:rsidRDefault="00B8166F" w:rsidP="00634EA8">
      <w:pPr>
        <w:pStyle w:val="NormalWeb"/>
        <w:spacing w:before="0" w:beforeAutospacing="0" w:after="120" w:afterAutospacing="0"/>
        <w:ind w:firstLine="720"/>
        <w:jc w:val="both"/>
        <w:rPr>
          <w:i/>
          <w:spacing w:val="-6"/>
          <w:sz w:val="28"/>
          <w:szCs w:val="28"/>
        </w:rPr>
      </w:pPr>
      <w:r w:rsidRPr="00A167B9">
        <w:rPr>
          <w:i/>
          <w:iCs/>
          <w:spacing w:val="-6"/>
          <w:sz w:val="28"/>
          <w:szCs w:val="28"/>
        </w:rPr>
        <w:t>Căn cứ Luật B</w:t>
      </w:r>
      <w:r w:rsidR="00D14168" w:rsidRPr="00A167B9">
        <w:rPr>
          <w:i/>
          <w:iCs/>
          <w:spacing w:val="-6"/>
          <w:sz w:val="28"/>
          <w:szCs w:val="28"/>
        </w:rPr>
        <w:t xml:space="preserve">an hành văn bản quy phạm pháp luật ngày </w:t>
      </w:r>
      <w:r w:rsidR="0054445B" w:rsidRPr="00A167B9">
        <w:rPr>
          <w:i/>
          <w:iCs/>
          <w:spacing w:val="-6"/>
          <w:sz w:val="28"/>
          <w:szCs w:val="28"/>
        </w:rPr>
        <w:t>22</w:t>
      </w:r>
      <w:r w:rsidRPr="00A167B9">
        <w:rPr>
          <w:i/>
          <w:iCs/>
          <w:spacing w:val="-6"/>
          <w:sz w:val="28"/>
          <w:szCs w:val="28"/>
        </w:rPr>
        <w:t>/6/2015</w:t>
      </w:r>
      <w:r w:rsidR="00D14168" w:rsidRPr="00A167B9">
        <w:rPr>
          <w:i/>
          <w:iCs/>
          <w:spacing w:val="-6"/>
          <w:sz w:val="28"/>
          <w:szCs w:val="28"/>
        </w:rPr>
        <w:t>;</w:t>
      </w:r>
    </w:p>
    <w:p w:rsidR="0054445B" w:rsidRPr="00A167B9" w:rsidRDefault="0054445B" w:rsidP="00634EA8">
      <w:pPr>
        <w:pStyle w:val="NormalWeb"/>
        <w:spacing w:before="0" w:beforeAutospacing="0" w:after="120" w:afterAutospacing="0"/>
        <w:ind w:firstLine="720"/>
        <w:jc w:val="both"/>
        <w:rPr>
          <w:i/>
          <w:iCs/>
          <w:spacing w:val="-6"/>
          <w:sz w:val="28"/>
          <w:szCs w:val="28"/>
        </w:rPr>
      </w:pPr>
      <w:r w:rsidRPr="00A167B9">
        <w:rPr>
          <w:i/>
          <w:iCs/>
          <w:spacing w:val="-6"/>
          <w:sz w:val="28"/>
          <w:szCs w:val="28"/>
        </w:rPr>
        <w:t>Căn cứ Nghị định số 34/2016/NĐ-CP ngày 14/5/2016 của Chính phủ về việc quy định chi tiết một số điều và biện pháp thi hành Luật Ban hành văn bản quy phạm pháp luật;</w:t>
      </w:r>
    </w:p>
    <w:p w:rsidR="0054445B" w:rsidRPr="00A167B9" w:rsidRDefault="0054445B" w:rsidP="00634EA8">
      <w:pPr>
        <w:pStyle w:val="NormalWeb"/>
        <w:spacing w:before="0" w:beforeAutospacing="0" w:after="120" w:afterAutospacing="0"/>
        <w:ind w:firstLine="720"/>
        <w:jc w:val="both"/>
        <w:rPr>
          <w:i/>
          <w:iCs/>
          <w:spacing w:val="-6"/>
          <w:sz w:val="28"/>
          <w:szCs w:val="28"/>
        </w:rPr>
      </w:pPr>
      <w:r w:rsidRPr="00A167B9">
        <w:rPr>
          <w:i/>
          <w:iCs/>
          <w:spacing w:val="-6"/>
          <w:sz w:val="28"/>
          <w:szCs w:val="28"/>
        </w:rPr>
        <w:t>Căn cứ Nghị định 14/2017/NĐ-CP ngày 17/02/2017 của Chính phủ về việc quy định chức năng, nhiệm vụ, quyền hạn và cơ cấu tổ chức của Bộ Lao động Thương binh và Xã hội;</w:t>
      </w:r>
    </w:p>
    <w:p w:rsidR="0054445B" w:rsidRPr="00A167B9" w:rsidRDefault="0054445B" w:rsidP="00634EA8">
      <w:pPr>
        <w:pStyle w:val="NormalWeb"/>
        <w:spacing w:before="0" w:beforeAutospacing="0" w:after="120" w:afterAutospacing="0"/>
        <w:ind w:firstLine="720"/>
        <w:jc w:val="both"/>
        <w:rPr>
          <w:i/>
          <w:iCs/>
          <w:spacing w:val="-6"/>
          <w:sz w:val="28"/>
          <w:szCs w:val="28"/>
        </w:rPr>
      </w:pPr>
      <w:r w:rsidRPr="00A167B9">
        <w:rPr>
          <w:i/>
          <w:iCs/>
          <w:spacing w:val="-6"/>
          <w:sz w:val="28"/>
          <w:szCs w:val="28"/>
        </w:rPr>
        <w:t>Theo đề nghị của Vụ trưởng Vụ Pháp chế;</w:t>
      </w:r>
    </w:p>
    <w:p w:rsidR="00E66943" w:rsidRPr="00A167B9" w:rsidRDefault="0054445B" w:rsidP="00634EA8">
      <w:pPr>
        <w:pStyle w:val="NormalWeb"/>
        <w:spacing w:before="0" w:beforeAutospacing="0" w:after="120" w:afterAutospacing="0"/>
        <w:ind w:firstLine="720"/>
        <w:jc w:val="both"/>
        <w:rPr>
          <w:i/>
          <w:iCs/>
          <w:spacing w:val="-6"/>
          <w:sz w:val="28"/>
          <w:szCs w:val="28"/>
        </w:rPr>
      </w:pPr>
      <w:r w:rsidRPr="00A167B9">
        <w:rPr>
          <w:i/>
          <w:iCs/>
          <w:spacing w:val="-6"/>
          <w:sz w:val="28"/>
          <w:szCs w:val="28"/>
        </w:rPr>
        <w:t xml:space="preserve">Bộ trưởng </w:t>
      </w:r>
      <w:r w:rsidR="00E66943" w:rsidRPr="00A167B9">
        <w:rPr>
          <w:i/>
          <w:iCs/>
          <w:spacing w:val="-6"/>
          <w:sz w:val="28"/>
          <w:szCs w:val="28"/>
        </w:rPr>
        <w:t>Bộ Lao động – Thương binh và Xã hội ban hành Thông tư bãi bỏ văn bản quy phạm pháp luật do Bộ trưởng Bộ Lao động – Thương binh và Xã hội ban hành, liên tịch ban hành.</w:t>
      </w:r>
    </w:p>
    <w:p w:rsidR="00D01B23" w:rsidRDefault="00D14168" w:rsidP="008E2164">
      <w:pPr>
        <w:pStyle w:val="NormalWeb"/>
        <w:spacing w:before="0" w:beforeAutospacing="0" w:after="120" w:afterAutospacing="0" w:line="264" w:lineRule="auto"/>
        <w:ind w:firstLine="720"/>
        <w:jc w:val="both"/>
        <w:rPr>
          <w:sz w:val="28"/>
          <w:szCs w:val="20"/>
        </w:rPr>
      </w:pPr>
      <w:r w:rsidRPr="00A167B9">
        <w:rPr>
          <w:b/>
          <w:bCs/>
          <w:sz w:val="28"/>
          <w:szCs w:val="20"/>
        </w:rPr>
        <w:t>Điều 1.</w:t>
      </w:r>
      <w:r w:rsidRPr="00A167B9">
        <w:rPr>
          <w:sz w:val="28"/>
          <w:szCs w:val="20"/>
        </w:rPr>
        <w:t xml:space="preserve"> </w:t>
      </w:r>
      <w:r w:rsidR="00C214B5" w:rsidRPr="00A93693">
        <w:rPr>
          <w:b/>
          <w:sz w:val="28"/>
          <w:szCs w:val="20"/>
        </w:rPr>
        <w:t>Bãi bỏ</w:t>
      </w:r>
      <w:r w:rsidR="00366A52" w:rsidRPr="00A93693">
        <w:rPr>
          <w:b/>
          <w:sz w:val="28"/>
          <w:szCs w:val="20"/>
        </w:rPr>
        <w:t xml:space="preserve"> </w:t>
      </w:r>
      <w:r w:rsidR="00C00B33" w:rsidRPr="00A93693">
        <w:rPr>
          <w:b/>
          <w:sz w:val="28"/>
          <w:szCs w:val="20"/>
        </w:rPr>
        <w:t xml:space="preserve">toàn bộ các </w:t>
      </w:r>
      <w:r w:rsidR="004B54CF" w:rsidRPr="00A93693">
        <w:rPr>
          <w:b/>
          <w:sz w:val="28"/>
          <w:szCs w:val="20"/>
        </w:rPr>
        <w:t>v</w:t>
      </w:r>
      <w:r w:rsidR="00C214B5" w:rsidRPr="00A93693">
        <w:rPr>
          <w:b/>
          <w:sz w:val="28"/>
          <w:szCs w:val="20"/>
        </w:rPr>
        <w:t>ăn bản quy phạm pháp luật</w:t>
      </w:r>
      <w:r w:rsidR="00C00B33" w:rsidRPr="00A93693">
        <w:rPr>
          <w:b/>
          <w:sz w:val="28"/>
          <w:szCs w:val="20"/>
        </w:rPr>
        <w:t xml:space="preserve"> </w:t>
      </w:r>
      <w:r w:rsidR="00C214B5" w:rsidRPr="00A93693">
        <w:rPr>
          <w:b/>
          <w:sz w:val="28"/>
          <w:szCs w:val="20"/>
        </w:rPr>
        <w:t>do Bộ</w:t>
      </w:r>
      <w:r w:rsidR="00E66943" w:rsidRPr="00A93693">
        <w:rPr>
          <w:b/>
          <w:sz w:val="28"/>
          <w:szCs w:val="20"/>
        </w:rPr>
        <w:t xml:space="preserve"> trưởng Bộ</w:t>
      </w:r>
      <w:r w:rsidR="00C214B5" w:rsidRPr="00A93693">
        <w:rPr>
          <w:b/>
          <w:sz w:val="28"/>
          <w:szCs w:val="20"/>
        </w:rPr>
        <w:t xml:space="preserve"> </w:t>
      </w:r>
      <w:r w:rsidR="00A7522A" w:rsidRPr="00A93693">
        <w:rPr>
          <w:b/>
          <w:sz w:val="28"/>
          <w:szCs w:val="20"/>
        </w:rPr>
        <w:t xml:space="preserve">Lao động – Thương binh và Xã hội </w:t>
      </w:r>
      <w:r w:rsidR="00C214B5" w:rsidRPr="00A93693">
        <w:rPr>
          <w:b/>
          <w:sz w:val="28"/>
          <w:szCs w:val="20"/>
        </w:rPr>
        <w:t>ban hành</w:t>
      </w:r>
      <w:r w:rsidR="00E66943" w:rsidRPr="00A93693">
        <w:rPr>
          <w:b/>
          <w:sz w:val="28"/>
          <w:szCs w:val="20"/>
        </w:rPr>
        <w:t>, liên tịch ban hành</w:t>
      </w:r>
      <w:r w:rsidR="00C00B33" w:rsidRPr="00A93693">
        <w:rPr>
          <w:b/>
          <w:sz w:val="28"/>
          <w:szCs w:val="20"/>
        </w:rPr>
        <w:t>, gồm các văn bản sau:</w:t>
      </w:r>
    </w:p>
    <w:p w:rsidR="00707987" w:rsidRPr="00513C54" w:rsidRDefault="00707987" w:rsidP="008E2164">
      <w:pPr>
        <w:pStyle w:val="NormalWeb"/>
        <w:spacing w:before="0" w:beforeAutospacing="0" w:after="120" w:afterAutospacing="0" w:line="264" w:lineRule="auto"/>
        <w:ind w:firstLine="720"/>
        <w:jc w:val="both"/>
        <w:rPr>
          <w:b/>
          <w:sz w:val="28"/>
          <w:szCs w:val="20"/>
        </w:rPr>
      </w:pPr>
      <w:r w:rsidRPr="00513C54">
        <w:rPr>
          <w:b/>
          <w:sz w:val="28"/>
          <w:szCs w:val="20"/>
        </w:rPr>
        <w:t>I. Lĩnh vực Giáo dục nghề nghiệp</w:t>
      </w:r>
    </w:p>
    <w:p w:rsidR="00707987" w:rsidRDefault="00D01B23" w:rsidP="008E2164">
      <w:pPr>
        <w:pStyle w:val="NormalWeb"/>
        <w:spacing w:before="0" w:beforeAutospacing="0" w:after="120" w:afterAutospacing="0" w:line="264" w:lineRule="auto"/>
        <w:ind w:firstLine="720"/>
        <w:jc w:val="both"/>
        <w:rPr>
          <w:sz w:val="28"/>
          <w:szCs w:val="20"/>
        </w:rPr>
      </w:pPr>
      <w:r>
        <w:rPr>
          <w:sz w:val="28"/>
          <w:szCs w:val="20"/>
        </w:rPr>
        <w:t>1. Thông tư s</w:t>
      </w:r>
      <w:r w:rsidRPr="00D01B23">
        <w:rPr>
          <w:sz w:val="28"/>
          <w:szCs w:val="20"/>
        </w:rPr>
        <w:t>ố 09/2008/TT-BLĐTBXH ngày 27/6/2008</w:t>
      </w:r>
      <w:r w:rsidR="00783AE1">
        <w:rPr>
          <w:sz w:val="28"/>
          <w:szCs w:val="20"/>
        </w:rPr>
        <w:t xml:space="preserve"> của Bộ trưởng Bộ Lao động – Thương binh và Xã hội</w:t>
      </w:r>
      <w:r w:rsidRPr="00D01B23">
        <w:rPr>
          <w:sz w:val="28"/>
          <w:szCs w:val="20"/>
        </w:rPr>
        <w:t xml:space="preserve"> hướng dẫn chế độ làm việc của giáo viên dạy nghề</w:t>
      </w:r>
      <w:r>
        <w:rPr>
          <w:sz w:val="28"/>
          <w:szCs w:val="20"/>
        </w:rPr>
        <w:t>.</w:t>
      </w:r>
    </w:p>
    <w:p w:rsidR="00D01B23" w:rsidRPr="00707987" w:rsidRDefault="00707987" w:rsidP="008E2164">
      <w:pPr>
        <w:pStyle w:val="NormalWeb"/>
        <w:spacing w:before="0" w:beforeAutospacing="0" w:after="120" w:afterAutospacing="0" w:line="264" w:lineRule="auto"/>
        <w:ind w:firstLine="720"/>
        <w:jc w:val="both"/>
        <w:rPr>
          <w:sz w:val="28"/>
          <w:szCs w:val="20"/>
        </w:rPr>
      </w:pPr>
      <w:r w:rsidRPr="00707987">
        <w:rPr>
          <w:sz w:val="28"/>
          <w:szCs w:val="20"/>
        </w:rPr>
        <w:t>2. Thông tư số 42/2010/TT-BLĐTBXH</w:t>
      </w:r>
      <w:r>
        <w:rPr>
          <w:sz w:val="28"/>
          <w:szCs w:val="20"/>
        </w:rPr>
        <w:t xml:space="preserve"> </w:t>
      </w:r>
      <w:r w:rsidRPr="00707987">
        <w:rPr>
          <w:sz w:val="28"/>
          <w:szCs w:val="20"/>
        </w:rPr>
        <w:t xml:space="preserve">ngày 31/12/2010 </w:t>
      </w:r>
      <w:r w:rsidR="00783AE1">
        <w:rPr>
          <w:sz w:val="28"/>
          <w:szCs w:val="20"/>
        </w:rPr>
        <w:t xml:space="preserve">của </w:t>
      </w:r>
      <w:r w:rsidR="00783AE1">
        <w:rPr>
          <w:sz w:val="28"/>
          <w:szCs w:val="20"/>
        </w:rPr>
        <w:t>Bộ trưởng Bộ Lao động – Thương binh và Xã hội</w:t>
      </w:r>
      <w:r w:rsidR="00783AE1" w:rsidRPr="00707987">
        <w:rPr>
          <w:sz w:val="28"/>
          <w:szCs w:val="20"/>
        </w:rPr>
        <w:t xml:space="preserve"> </w:t>
      </w:r>
      <w:r w:rsidR="00783AE1">
        <w:rPr>
          <w:sz w:val="28"/>
          <w:szCs w:val="20"/>
        </w:rPr>
        <w:t>q</w:t>
      </w:r>
      <w:r w:rsidRPr="00707987">
        <w:rPr>
          <w:sz w:val="28"/>
          <w:szCs w:val="20"/>
        </w:rPr>
        <w:t>uy định về bổ nhiệm, công nhận, bổ nhiệm lại, công nhận lại hiệu trưởng trường cao đẳng nghề, trường trung cấp nghề và giám đốc trung tâm dạy nghề</w:t>
      </w:r>
      <w:r w:rsidR="00D57A0F">
        <w:rPr>
          <w:sz w:val="28"/>
          <w:szCs w:val="20"/>
        </w:rPr>
        <w:t>.</w:t>
      </w:r>
    </w:p>
    <w:p w:rsidR="00707987" w:rsidRDefault="00707987" w:rsidP="008E2164">
      <w:pPr>
        <w:pStyle w:val="NormalWeb"/>
        <w:spacing w:before="0" w:beforeAutospacing="0" w:after="120" w:afterAutospacing="0" w:line="264" w:lineRule="auto"/>
        <w:ind w:firstLine="720"/>
        <w:jc w:val="both"/>
        <w:rPr>
          <w:sz w:val="28"/>
          <w:szCs w:val="20"/>
        </w:rPr>
      </w:pPr>
      <w:r w:rsidRPr="00707987">
        <w:rPr>
          <w:sz w:val="28"/>
          <w:szCs w:val="20"/>
        </w:rPr>
        <w:t xml:space="preserve">3. Số 40/2015/TT-BLĐTBXH ngày 20/10/2015 </w:t>
      </w:r>
      <w:r w:rsidR="00783AE1">
        <w:rPr>
          <w:sz w:val="28"/>
          <w:szCs w:val="20"/>
        </w:rPr>
        <w:t>của Bộ trưởng Bộ Lao động – Thương binh và Xã hội</w:t>
      </w:r>
      <w:r w:rsidR="00783AE1" w:rsidRPr="00707987">
        <w:rPr>
          <w:sz w:val="28"/>
          <w:szCs w:val="20"/>
        </w:rPr>
        <w:t xml:space="preserve"> </w:t>
      </w:r>
      <w:r w:rsidR="00783AE1">
        <w:rPr>
          <w:sz w:val="28"/>
          <w:szCs w:val="20"/>
        </w:rPr>
        <w:t>q</w:t>
      </w:r>
      <w:r w:rsidRPr="00707987">
        <w:rPr>
          <w:sz w:val="28"/>
          <w:szCs w:val="20"/>
        </w:rPr>
        <w:t>uy định chuẩn về chuyên môn, nghiệp vụ và chế độ làm việc của nhà giáo dạy trình độ sơ cấp</w:t>
      </w:r>
      <w:r w:rsidR="00D57A0F">
        <w:rPr>
          <w:sz w:val="28"/>
          <w:szCs w:val="20"/>
        </w:rPr>
        <w:t>.</w:t>
      </w:r>
    </w:p>
    <w:p w:rsidR="00565E11" w:rsidRPr="00707987" w:rsidRDefault="00565E11" w:rsidP="008E2164">
      <w:pPr>
        <w:pStyle w:val="NormalWeb"/>
        <w:spacing w:before="0" w:beforeAutospacing="0" w:after="120" w:afterAutospacing="0" w:line="264" w:lineRule="auto"/>
        <w:ind w:firstLine="720"/>
        <w:jc w:val="both"/>
        <w:rPr>
          <w:sz w:val="28"/>
          <w:szCs w:val="20"/>
        </w:rPr>
      </w:pPr>
      <w:r w:rsidRPr="00565E11">
        <w:rPr>
          <w:sz w:val="28"/>
          <w:szCs w:val="20"/>
        </w:rPr>
        <w:lastRenderedPageBreak/>
        <w:t>4. Thông tư liên tịch số 16/2006/TTLT-BLĐTBXH-BGDĐT-BTC ngày 20/11/2006 của Bộ Lao động – Thương binh và Xã hội, Bộ Giáo dục và Đào tạo, Bộ  Tài chính hướng dẫn về chế độ ưu đãi trong giáo dục và đào tạo đối với người có công với cách mạng và con của họ</w:t>
      </w:r>
      <w:r>
        <w:rPr>
          <w:sz w:val="28"/>
          <w:szCs w:val="20"/>
        </w:rPr>
        <w:t>.</w:t>
      </w:r>
    </w:p>
    <w:p w:rsidR="00707987" w:rsidRDefault="00565E11" w:rsidP="008E2164">
      <w:pPr>
        <w:pStyle w:val="NormalWeb"/>
        <w:spacing w:before="0" w:beforeAutospacing="0" w:after="120" w:afterAutospacing="0" w:line="264" w:lineRule="auto"/>
        <w:ind w:firstLine="720"/>
        <w:jc w:val="both"/>
        <w:rPr>
          <w:sz w:val="28"/>
          <w:szCs w:val="20"/>
        </w:rPr>
      </w:pPr>
      <w:r>
        <w:rPr>
          <w:sz w:val="28"/>
          <w:szCs w:val="20"/>
        </w:rPr>
        <w:t>5</w:t>
      </w:r>
      <w:r w:rsidR="00707987" w:rsidRPr="00707987">
        <w:rPr>
          <w:sz w:val="28"/>
          <w:szCs w:val="20"/>
        </w:rPr>
        <w:t>. Quyết định số 07/2008/QĐ-BLĐTBXH ngày 25/3/2008</w:t>
      </w:r>
      <w:r w:rsidR="00783AE1" w:rsidRPr="00783AE1">
        <w:rPr>
          <w:sz w:val="28"/>
          <w:szCs w:val="20"/>
        </w:rPr>
        <w:t xml:space="preserve"> </w:t>
      </w:r>
      <w:r w:rsidR="00783AE1">
        <w:rPr>
          <w:sz w:val="28"/>
          <w:szCs w:val="20"/>
        </w:rPr>
        <w:t>của Bộ trưởng Bộ Lao động – Thương binh và Xã hội</w:t>
      </w:r>
      <w:r w:rsidR="00783AE1">
        <w:rPr>
          <w:sz w:val="28"/>
          <w:szCs w:val="20"/>
        </w:rPr>
        <w:t xml:space="preserve"> v</w:t>
      </w:r>
      <w:r w:rsidR="00707987" w:rsidRPr="00707987">
        <w:rPr>
          <w:sz w:val="28"/>
          <w:szCs w:val="20"/>
        </w:rPr>
        <w:t>ề việc ban hành Quy định về kiểm định viên chất lượng dạy nghề</w:t>
      </w:r>
      <w:r w:rsidR="00707987">
        <w:rPr>
          <w:sz w:val="28"/>
          <w:szCs w:val="20"/>
        </w:rPr>
        <w:t>.</w:t>
      </w:r>
    </w:p>
    <w:p w:rsidR="00707987" w:rsidRPr="00513C54" w:rsidRDefault="00707987" w:rsidP="008E2164">
      <w:pPr>
        <w:pStyle w:val="NormalWeb"/>
        <w:spacing w:before="0" w:beforeAutospacing="0" w:after="120" w:afterAutospacing="0" w:line="264" w:lineRule="auto"/>
        <w:ind w:firstLine="720"/>
        <w:jc w:val="both"/>
        <w:rPr>
          <w:b/>
          <w:sz w:val="28"/>
          <w:szCs w:val="20"/>
        </w:rPr>
      </w:pPr>
      <w:r w:rsidRPr="00513C54">
        <w:rPr>
          <w:b/>
          <w:sz w:val="28"/>
          <w:szCs w:val="20"/>
        </w:rPr>
        <w:t>II. Lĩnh vực Quan hệ lao động và Tiền lương</w:t>
      </w:r>
    </w:p>
    <w:p w:rsidR="00707987" w:rsidRDefault="00F11F01" w:rsidP="008E2164">
      <w:pPr>
        <w:pStyle w:val="NormalWeb"/>
        <w:spacing w:before="0" w:beforeAutospacing="0" w:after="120" w:afterAutospacing="0" w:line="264" w:lineRule="auto"/>
        <w:ind w:firstLine="720"/>
        <w:jc w:val="both"/>
        <w:rPr>
          <w:sz w:val="28"/>
          <w:szCs w:val="20"/>
        </w:rPr>
      </w:pPr>
      <w:r>
        <w:rPr>
          <w:sz w:val="28"/>
          <w:szCs w:val="20"/>
        </w:rPr>
        <w:t xml:space="preserve">1. </w:t>
      </w:r>
      <w:r w:rsidRPr="00F11F01">
        <w:rPr>
          <w:sz w:val="28"/>
          <w:szCs w:val="20"/>
        </w:rPr>
        <w:t>Thông tư liên tịch số 37</w:t>
      </w:r>
      <w:r w:rsidR="00783AE1">
        <w:rPr>
          <w:sz w:val="28"/>
          <w:szCs w:val="20"/>
        </w:rPr>
        <w:t xml:space="preserve">/2011/TTLT-BLĐTBXH-BTC-BNV-BNG </w:t>
      </w:r>
      <w:r w:rsidR="00783AE1">
        <w:rPr>
          <w:sz w:val="28"/>
          <w:szCs w:val="20"/>
        </w:rPr>
        <w:t xml:space="preserve">của Bộ trưởng Bộ Lao động </w:t>
      </w:r>
      <w:r w:rsidR="008B7833">
        <w:rPr>
          <w:sz w:val="28"/>
          <w:szCs w:val="20"/>
        </w:rPr>
        <w:t>-</w:t>
      </w:r>
      <w:r w:rsidR="00783AE1">
        <w:rPr>
          <w:sz w:val="28"/>
          <w:szCs w:val="20"/>
        </w:rPr>
        <w:t xml:space="preserve"> Thương binh và Xã hội</w:t>
      </w:r>
      <w:r w:rsidR="00783AE1">
        <w:rPr>
          <w:sz w:val="28"/>
          <w:szCs w:val="20"/>
        </w:rPr>
        <w:t>, Bộ Tài chính, Bộ Nội vụ, Bộ ngoại giao h</w:t>
      </w:r>
      <w:r w:rsidRPr="00F11F01">
        <w:rPr>
          <w:sz w:val="28"/>
          <w:szCs w:val="20"/>
        </w:rPr>
        <w:t>ướng dẫn thực hiện Quyết định số 10/2011/QĐ-TTg ngày 10/2/2011 của Thủ tướng Chính phủ về chế độ đối với những người trực tiếp tham gia và phục vụ công tác phân giới, cắm mốc biên giới trên đất liền</w:t>
      </w:r>
      <w:r>
        <w:rPr>
          <w:sz w:val="28"/>
          <w:szCs w:val="20"/>
        </w:rPr>
        <w:t>.</w:t>
      </w:r>
    </w:p>
    <w:p w:rsidR="00F11F01" w:rsidRDefault="00F11F01" w:rsidP="008E2164">
      <w:pPr>
        <w:pStyle w:val="NormalWeb"/>
        <w:spacing w:before="0" w:beforeAutospacing="0" w:after="120" w:afterAutospacing="0" w:line="264" w:lineRule="auto"/>
        <w:ind w:firstLine="720"/>
        <w:jc w:val="both"/>
        <w:rPr>
          <w:sz w:val="28"/>
          <w:szCs w:val="20"/>
        </w:rPr>
      </w:pPr>
      <w:r>
        <w:rPr>
          <w:sz w:val="28"/>
          <w:szCs w:val="20"/>
        </w:rPr>
        <w:t xml:space="preserve">2. </w:t>
      </w:r>
      <w:r w:rsidRPr="00F11F01">
        <w:rPr>
          <w:sz w:val="28"/>
          <w:szCs w:val="20"/>
        </w:rPr>
        <w:t xml:space="preserve">Thông tư liên tịch số 31/2014/TT-BLĐTBXH-BQP ngày 07/11/2014 </w:t>
      </w:r>
      <w:r w:rsidR="00783AE1">
        <w:rPr>
          <w:sz w:val="28"/>
          <w:szCs w:val="20"/>
        </w:rPr>
        <w:t xml:space="preserve">của </w:t>
      </w:r>
      <w:r w:rsidR="00783AE1">
        <w:rPr>
          <w:sz w:val="28"/>
          <w:szCs w:val="20"/>
        </w:rPr>
        <w:t xml:space="preserve">Bộ trưởng Bộ Lao động </w:t>
      </w:r>
      <w:r w:rsidR="00783AE1">
        <w:rPr>
          <w:sz w:val="28"/>
          <w:szCs w:val="20"/>
        </w:rPr>
        <w:t>-</w:t>
      </w:r>
      <w:r w:rsidR="00783AE1">
        <w:rPr>
          <w:sz w:val="28"/>
          <w:szCs w:val="20"/>
        </w:rPr>
        <w:t xml:space="preserve"> Thương binh và Xã hội</w:t>
      </w:r>
      <w:r w:rsidR="00BC6FF7">
        <w:rPr>
          <w:sz w:val="28"/>
          <w:szCs w:val="20"/>
        </w:rPr>
        <w:t xml:space="preserve">, Bộ Quốc phòng </w:t>
      </w:r>
      <w:r w:rsidR="00783AE1">
        <w:rPr>
          <w:sz w:val="28"/>
          <w:szCs w:val="20"/>
        </w:rPr>
        <w:t>s</w:t>
      </w:r>
      <w:r w:rsidRPr="00F11F01">
        <w:rPr>
          <w:sz w:val="28"/>
          <w:szCs w:val="20"/>
        </w:rPr>
        <w:t>ửa đổi, bổ sung tên gọi và một số điểu của Thông tư liên tịch số 26/2011/TTLT-BLĐTBXH-BQP ngày 12/10/2011</w:t>
      </w:r>
      <w:r w:rsidR="00BC6FF7">
        <w:rPr>
          <w:sz w:val="28"/>
          <w:szCs w:val="20"/>
        </w:rPr>
        <w:t xml:space="preserve"> của Bộ Lao động – Thương binh và Xã hội, Bộ Quốc phòng</w:t>
      </w:r>
      <w:r w:rsidRPr="00F11F01">
        <w:rPr>
          <w:sz w:val="28"/>
          <w:szCs w:val="20"/>
        </w:rPr>
        <w:t xml:space="preserve"> hướng dẫn thực hiện thí điểm quản lý tiền lương đối với Công ty mẹ - Tập đoàn Viễn thông Quân đội giai đoạn 2011-2013 theo</w:t>
      </w:r>
      <w:r>
        <w:rPr>
          <w:sz w:val="28"/>
          <w:szCs w:val="20"/>
        </w:rPr>
        <w:t>.</w:t>
      </w:r>
    </w:p>
    <w:p w:rsidR="00F11F01" w:rsidRPr="00513C54" w:rsidRDefault="00F11F01" w:rsidP="008E2164">
      <w:pPr>
        <w:pStyle w:val="NormalWeb"/>
        <w:spacing w:before="0" w:beforeAutospacing="0" w:after="120" w:afterAutospacing="0" w:line="264" w:lineRule="auto"/>
        <w:ind w:firstLine="720"/>
        <w:jc w:val="both"/>
        <w:rPr>
          <w:b/>
          <w:sz w:val="28"/>
          <w:szCs w:val="20"/>
        </w:rPr>
      </w:pPr>
      <w:r w:rsidRPr="00513C54">
        <w:rPr>
          <w:b/>
          <w:sz w:val="28"/>
          <w:szCs w:val="20"/>
        </w:rPr>
        <w:t>III. Lĩnh vực Bảo hiểm xã hội</w:t>
      </w:r>
    </w:p>
    <w:p w:rsidR="00F11F01" w:rsidRDefault="00F11F01" w:rsidP="008E2164">
      <w:pPr>
        <w:pStyle w:val="NormalWeb"/>
        <w:spacing w:before="0" w:beforeAutospacing="0" w:after="120" w:afterAutospacing="0" w:line="264" w:lineRule="auto"/>
        <w:ind w:firstLine="720"/>
        <w:jc w:val="both"/>
        <w:rPr>
          <w:sz w:val="28"/>
          <w:szCs w:val="20"/>
        </w:rPr>
      </w:pPr>
      <w:r>
        <w:rPr>
          <w:sz w:val="28"/>
          <w:szCs w:val="20"/>
        </w:rPr>
        <w:t xml:space="preserve">1. </w:t>
      </w:r>
      <w:r w:rsidRPr="00F11F01">
        <w:rPr>
          <w:sz w:val="28"/>
          <w:szCs w:val="20"/>
        </w:rPr>
        <w:t xml:space="preserve">Thông tư số 31/2007/TT-BLĐTBXH ngày 28/12/2007 </w:t>
      </w:r>
      <w:r w:rsidR="00BC6FF7">
        <w:rPr>
          <w:sz w:val="28"/>
          <w:szCs w:val="20"/>
        </w:rPr>
        <w:t>của Bộ trưởng Bộ Lao động – Thương binh và Xã hội</w:t>
      </w:r>
      <w:r w:rsidR="00BC6FF7" w:rsidRPr="00F11F01">
        <w:rPr>
          <w:sz w:val="28"/>
          <w:szCs w:val="20"/>
        </w:rPr>
        <w:t xml:space="preserve"> </w:t>
      </w:r>
      <w:r w:rsidR="00BC6FF7">
        <w:rPr>
          <w:sz w:val="28"/>
          <w:szCs w:val="20"/>
        </w:rPr>
        <w:t>h</w:t>
      </w:r>
      <w:r w:rsidRPr="00F11F01">
        <w:rPr>
          <w:sz w:val="28"/>
          <w:szCs w:val="20"/>
        </w:rPr>
        <w:t>ướng dẫn điều chỉnh lương hưu, trợ cấp bảo hiểm xã hội và trợ cấp hàng tháng theo Nghị định số 184/2007/NĐ-CP ngày 17/12/2007 và Nghị định số 166/2007/NĐ-CP ngày 16/11/2007 của Chính phủ.</w:t>
      </w:r>
    </w:p>
    <w:p w:rsidR="00F11F01" w:rsidRDefault="00F11F01" w:rsidP="008E2164">
      <w:pPr>
        <w:spacing w:after="120" w:line="264" w:lineRule="auto"/>
        <w:ind w:firstLine="720"/>
        <w:jc w:val="both"/>
        <w:rPr>
          <w:sz w:val="28"/>
          <w:szCs w:val="20"/>
        </w:rPr>
      </w:pPr>
      <w:r>
        <w:rPr>
          <w:sz w:val="28"/>
          <w:szCs w:val="20"/>
        </w:rPr>
        <w:t>2. Thông tư s</w:t>
      </w:r>
      <w:r w:rsidRPr="00F11F01">
        <w:rPr>
          <w:sz w:val="28"/>
          <w:szCs w:val="20"/>
        </w:rPr>
        <w:t xml:space="preserve">ố 17/2008/TT-BLĐTBXH ngày 28/8/2008 </w:t>
      </w:r>
      <w:r w:rsidR="00BC6FF7">
        <w:rPr>
          <w:sz w:val="28"/>
          <w:szCs w:val="20"/>
        </w:rPr>
        <w:t>của Bộ trưởng Bộ Lao động – Thương binh và Xã hội</w:t>
      </w:r>
      <w:r w:rsidR="00BC6FF7" w:rsidRPr="00F11F01">
        <w:rPr>
          <w:sz w:val="28"/>
          <w:szCs w:val="20"/>
        </w:rPr>
        <w:t xml:space="preserve"> </w:t>
      </w:r>
      <w:r w:rsidR="00BC6FF7">
        <w:rPr>
          <w:sz w:val="28"/>
          <w:szCs w:val="20"/>
        </w:rPr>
        <w:t>h</w:t>
      </w:r>
      <w:r w:rsidRPr="00F11F01">
        <w:rPr>
          <w:sz w:val="28"/>
          <w:szCs w:val="20"/>
        </w:rPr>
        <w:t xml:space="preserve">ướng dẫn điều chỉnh tiền lương, tiền công đã đóng </w:t>
      </w:r>
      <w:r w:rsidR="00BC6FF7">
        <w:rPr>
          <w:sz w:val="28"/>
          <w:szCs w:val="20"/>
        </w:rPr>
        <w:t>bảo hiểm xã hội</w:t>
      </w:r>
      <w:r w:rsidRPr="00F11F01">
        <w:rPr>
          <w:sz w:val="28"/>
          <w:szCs w:val="20"/>
        </w:rPr>
        <w:t xml:space="preserve"> đối với người lao động thực hiện chế độ tiền lương do người sử dụng lao động quyết định theo Nghị định số 83/2008/NĐ-CP ngày 31/7/2008</w:t>
      </w:r>
      <w:r>
        <w:rPr>
          <w:sz w:val="28"/>
          <w:szCs w:val="20"/>
        </w:rPr>
        <w:t>.</w:t>
      </w:r>
    </w:p>
    <w:p w:rsidR="00F11F01" w:rsidRDefault="00F11F01" w:rsidP="008E2164">
      <w:pPr>
        <w:spacing w:after="120" w:line="264" w:lineRule="auto"/>
        <w:ind w:firstLine="720"/>
        <w:jc w:val="both"/>
        <w:rPr>
          <w:sz w:val="28"/>
          <w:szCs w:val="20"/>
        </w:rPr>
      </w:pPr>
      <w:r>
        <w:rPr>
          <w:sz w:val="28"/>
          <w:szCs w:val="20"/>
        </w:rPr>
        <w:t>3. Thông tư s</w:t>
      </w:r>
      <w:r w:rsidRPr="00F11F01">
        <w:rPr>
          <w:sz w:val="28"/>
          <w:szCs w:val="20"/>
        </w:rPr>
        <w:t>ố 20/2008/TT-BLĐTBXH</w:t>
      </w:r>
      <w:r>
        <w:rPr>
          <w:sz w:val="28"/>
          <w:szCs w:val="20"/>
        </w:rPr>
        <w:t xml:space="preserve"> </w:t>
      </w:r>
      <w:r w:rsidRPr="00F11F01">
        <w:rPr>
          <w:sz w:val="28"/>
          <w:szCs w:val="20"/>
        </w:rPr>
        <w:t xml:space="preserve">ngày 29/9/2008 </w:t>
      </w:r>
      <w:r w:rsidR="00BC6FF7">
        <w:rPr>
          <w:sz w:val="28"/>
          <w:szCs w:val="20"/>
        </w:rPr>
        <w:t>của Bộ trưởng Bộ Lao động – Thương binh và Xã hội</w:t>
      </w:r>
      <w:r w:rsidR="00BC6FF7" w:rsidRPr="00F11F01">
        <w:rPr>
          <w:sz w:val="28"/>
          <w:szCs w:val="20"/>
        </w:rPr>
        <w:t xml:space="preserve"> </w:t>
      </w:r>
      <w:r w:rsidR="00BC6FF7">
        <w:rPr>
          <w:sz w:val="28"/>
          <w:szCs w:val="20"/>
        </w:rPr>
        <w:t>h</w:t>
      </w:r>
      <w:r w:rsidRPr="00F11F01">
        <w:rPr>
          <w:sz w:val="28"/>
          <w:szCs w:val="20"/>
        </w:rPr>
        <w:t>ướng dẫn điều chỉnh l</w:t>
      </w:r>
      <w:r w:rsidRPr="00F11F01">
        <w:rPr>
          <w:sz w:val="28"/>
          <w:szCs w:val="20"/>
        </w:rPr>
        <w:softHyphen/>
        <w:t>ương hưu, trợ cấp bảo hiểm xã hội và trợ cấp hàng tháng đối với cán bộ xã đã nghỉ việc theo Nghị định số 101/2008/NĐ-CP ngày 12/9/2008 của Chính phủ.</w:t>
      </w:r>
    </w:p>
    <w:p w:rsidR="00F11F01" w:rsidRPr="00D57A0F" w:rsidRDefault="00F11F01" w:rsidP="008E2164">
      <w:pPr>
        <w:spacing w:after="120" w:line="264" w:lineRule="auto"/>
        <w:ind w:firstLine="720"/>
        <w:jc w:val="both"/>
        <w:rPr>
          <w:sz w:val="28"/>
          <w:szCs w:val="20"/>
        </w:rPr>
      </w:pPr>
      <w:r>
        <w:rPr>
          <w:sz w:val="28"/>
          <w:szCs w:val="20"/>
        </w:rPr>
        <w:t xml:space="preserve">4. </w:t>
      </w:r>
      <w:r w:rsidR="00A93693">
        <w:rPr>
          <w:sz w:val="28"/>
          <w:szCs w:val="20"/>
        </w:rPr>
        <w:t>Thông tư s</w:t>
      </w:r>
      <w:r w:rsidRPr="00D57A0F">
        <w:rPr>
          <w:sz w:val="28"/>
          <w:szCs w:val="20"/>
        </w:rPr>
        <w:t xml:space="preserve">ố 01/2009/TT-BLĐTBXH ngày 14/01/2009 </w:t>
      </w:r>
      <w:r w:rsidR="00BC6FF7">
        <w:rPr>
          <w:sz w:val="28"/>
          <w:szCs w:val="20"/>
        </w:rPr>
        <w:t>của Bộ trưởng Bộ Lao động – Thương binh và Xã hội</w:t>
      </w:r>
      <w:r w:rsidR="00BC6FF7" w:rsidRPr="00D57A0F">
        <w:rPr>
          <w:sz w:val="28"/>
          <w:szCs w:val="20"/>
        </w:rPr>
        <w:t xml:space="preserve"> </w:t>
      </w:r>
      <w:r w:rsidR="00BC6FF7">
        <w:rPr>
          <w:sz w:val="28"/>
          <w:szCs w:val="20"/>
        </w:rPr>
        <w:t>q</w:t>
      </w:r>
      <w:r w:rsidRPr="00D57A0F">
        <w:rPr>
          <w:sz w:val="28"/>
          <w:szCs w:val="20"/>
        </w:rPr>
        <w:t xml:space="preserve">uy định mức điều chỉnh tiền lương, tiền công đã đóng bảo hiểm xã hội đối với người lao động thực hiện chế độ tiền </w:t>
      </w:r>
      <w:r w:rsidRPr="00D57A0F">
        <w:rPr>
          <w:sz w:val="28"/>
          <w:szCs w:val="20"/>
        </w:rPr>
        <w:lastRenderedPageBreak/>
        <w:t>lương do người sử dụng lao động quyết định theo khoản 2 Điều 5 Nghị định số 83/2008/NĐ-CP ngày 31/7/2008 của Chính phủ.</w:t>
      </w:r>
    </w:p>
    <w:p w:rsidR="00F11F01" w:rsidRPr="00D57A0F" w:rsidRDefault="00F11F01" w:rsidP="008E2164">
      <w:pPr>
        <w:spacing w:after="120" w:line="264" w:lineRule="auto"/>
        <w:ind w:firstLine="720"/>
        <w:jc w:val="both"/>
        <w:rPr>
          <w:sz w:val="28"/>
          <w:szCs w:val="20"/>
        </w:rPr>
      </w:pPr>
      <w:r w:rsidRPr="00D57A0F">
        <w:rPr>
          <w:sz w:val="28"/>
          <w:szCs w:val="20"/>
        </w:rPr>
        <w:t xml:space="preserve">5. </w:t>
      </w:r>
      <w:r w:rsidR="00A93693">
        <w:rPr>
          <w:sz w:val="28"/>
          <w:szCs w:val="20"/>
        </w:rPr>
        <w:t>Thông tư s</w:t>
      </w:r>
      <w:r w:rsidRPr="00D57A0F">
        <w:rPr>
          <w:sz w:val="28"/>
          <w:szCs w:val="20"/>
        </w:rPr>
        <w:t xml:space="preserve">ố 02/2009/TT-BLĐTBXH ngày 15/01/2009 </w:t>
      </w:r>
      <w:r w:rsidR="00BC6FF7">
        <w:rPr>
          <w:sz w:val="28"/>
          <w:szCs w:val="20"/>
        </w:rPr>
        <w:t>của Bộ trưởng Bộ Lao động – Thương binh và Xã hội</w:t>
      </w:r>
      <w:r w:rsidR="00BC6FF7" w:rsidRPr="00D57A0F">
        <w:rPr>
          <w:sz w:val="28"/>
          <w:szCs w:val="20"/>
        </w:rPr>
        <w:t xml:space="preserve"> </w:t>
      </w:r>
      <w:r w:rsidR="00BC6FF7">
        <w:rPr>
          <w:sz w:val="28"/>
          <w:szCs w:val="20"/>
        </w:rPr>
        <w:t>h</w:t>
      </w:r>
      <w:r w:rsidRPr="00D57A0F">
        <w:rPr>
          <w:sz w:val="28"/>
          <w:szCs w:val="20"/>
        </w:rPr>
        <w:t>ướng dẫn điều chỉnh thu nhập tháng đã đóng bảo hiểm xã hội đối với người lao động tham gia bảo hiểm xã hội tự nguyện theo Nghị định số 134/2008/NĐ-CP ngày 31/12/2008 của Chính phủ.</w:t>
      </w:r>
    </w:p>
    <w:p w:rsidR="00F11F01" w:rsidRPr="00D57A0F" w:rsidRDefault="00F11F01" w:rsidP="008E2164">
      <w:pPr>
        <w:spacing w:after="120" w:line="264" w:lineRule="auto"/>
        <w:ind w:firstLine="720"/>
        <w:jc w:val="both"/>
        <w:rPr>
          <w:sz w:val="28"/>
          <w:szCs w:val="20"/>
        </w:rPr>
      </w:pPr>
      <w:r w:rsidRPr="00D57A0F">
        <w:rPr>
          <w:sz w:val="28"/>
          <w:szCs w:val="20"/>
        </w:rPr>
        <w:t xml:space="preserve">6. </w:t>
      </w:r>
      <w:r w:rsidR="00A93693">
        <w:rPr>
          <w:sz w:val="28"/>
          <w:szCs w:val="20"/>
        </w:rPr>
        <w:t>Thông tư s</w:t>
      </w:r>
      <w:r w:rsidRPr="00D57A0F">
        <w:rPr>
          <w:sz w:val="28"/>
          <w:szCs w:val="20"/>
        </w:rPr>
        <w:t xml:space="preserve">ố 11/2009/TT-BLĐTBXH ngày 24/4/2009 </w:t>
      </w:r>
      <w:r w:rsidR="00BC6FF7">
        <w:rPr>
          <w:sz w:val="28"/>
          <w:szCs w:val="20"/>
        </w:rPr>
        <w:t>của Bộ trưởng Bộ Lao động – Thương binh và Xã hội</w:t>
      </w:r>
      <w:r w:rsidR="00BC6FF7" w:rsidRPr="00D57A0F">
        <w:rPr>
          <w:sz w:val="28"/>
          <w:szCs w:val="20"/>
        </w:rPr>
        <w:t xml:space="preserve"> </w:t>
      </w:r>
      <w:r w:rsidR="00BC6FF7">
        <w:rPr>
          <w:sz w:val="28"/>
          <w:szCs w:val="20"/>
        </w:rPr>
        <w:t>h</w:t>
      </w:r>
      <w:r w:rsidRPr="00D57A0F">
        <w:rPr>
          <w:sz w:val="28"/>
          <w:szCs w:val="20"/>
        </w:rPr>
        <w:t>ướng dẫn điều chỉnh l</w:t>
      </w:r>
      <w:r w:rsidRPr="00D57A0F">
        <w:rPr>
          <w:sz w:val="28"/>
          <w:szCs w:val="20"/>
        </w:rPr>
        <w:softHyphen/>
        <w:t>ương hưu, trợ cấp bảo hiểm xã hội và trợ cấp hàng tháng theo Nghị định số 34/2009/NĐ-CP và Nghị định số 33/2009/NĐ-CP ngày 06/4/2009 của Chính phủ.</w:t>
      </w:r>
    </w:p>
    <w:p w:rsidR="00F11F01" w:rsidRPr="00D57A0F" w:rsidRDefault="00F11F01" w:rsidP="008E2164">
      <w:pPr>
        <w:spacing w:after="120" w:line="264" w:lineRule="auto"/>
        <w:ind w:firstLine="720"/>
        <w:jc w:val="both"/>
        <w:rPr>
          <w:sz w:val="28"/>
          <w:szCs w:val="20"/>
        </w:rPr>
      </w:pPr>
      <w:r w:rsidRPr="00D57A0F">
        <w:rPr>
          <w:sz w:val="28"/>
          <w:szCs w:val="20"/>
        </w:rPr>
        <w:t xml:space="preserve">7. </w:t>
      </w:r>
      <w:r w:rsidR="00A93693">
        <w:rPr>
          <w:sz w:val="28"/>
          <w:szCs w:val="20"/>
        </w:rPr>
        <w:t>Thông tư s</w:t>
      </w:r>
      <w:r w:rsidRPr="00D57A0F">
        <w:rPr>
          <w:sz w:val="28"/>
          <w:szCs w:val="20"/>
        </w:rPr>
        <w:t>ố 12/2009/TT-BLĐTBXH ngày 28/4/2009</w:t>
      </w:r>
      <w:r w:rsidR="00BC6FF7" w:rsidRPr="00BC6FF7">
        <w:rPr>
          <w:sz w:val="28"/>
          <w:szCs w:val="20"/>
        </w:rPr>
        <w:t xml:space="preserve"> </w:t>
      </w:r>
      <w:r w:rsidR="00BC6FF7">
        <w:rPr>
          <w:sz w:val="28"/>
          <w:szCs w:val="20"/>
        </w:rPr>
        <w:t>của Bộ trưởng Bộ Lao động – Thương binh và Xã hội</w:t>
      </w:r>
      <w:r w:rsidR="00BC6FF7">
        <w:rPr>
          <w:sz w:val="28"/>
          <w:szCs w:val="20"/>
        </w:rPr>
        <w:t xml:space="preserve"> h</w:t>
      </w:r>
      <w:r w:rsidRPr="00D57A0F">
        <w:rPr>
          <w:sz w:val="28"/>
          <w:szCs w:val="20"/>
        </w:rPr>
        <w:t>ướng dẫn thực hiện chuyển Bảo hiểm xã hội nông dân Nghệ An sang bảo hiểm xã hội tự nguyện theo Quyết định số 41/2009/QĐ-TTg ngày 16 tháng 3 năm 2009 của Thủ tướng Chính phủ</w:t>
      </w:r>
      <w:r w:rsidR="00D57A0F">
        <w:rPr>
          <w:sz w:val="28"/>
          <w:szCs w:val="20"/>
        </w:rPr>
        <w:t>.</w:t>
      </w:r>
    </w:p>
    <w:p w:rsidR="00F11F01" w:rsidRPr="00D57A0F" w:rsidRDefault="00F11F01" w:rsidP="008E2164">
      <w:pPr>
        <w:spacing w:after="120" w:line="264" w:lineRule="auto"/>
        <w:ind w:firstLine="720"/>
        <w:jc w:val="both"/>
        <w:rPr>
          <w:sz w:val="28"/>
          <w:szCs w:val="20"/>
        </w:rPr>
      </w:pPr>
      <w:r w:rsidRPr="00D57A0F">
        <w:rPr>
          <w:sz w:val="28"/>
          <w:szCs w:val="20"/>
        </w:rPr>
        <w:t xml:space="preserve">8. </w:t>
      </w:r>
      <w:r w:rsidR="00A93693">
        <w:rPr>
          <w:sz w:val="28"/>
          <w:szCs w:val="20"/>
        </w:rPr>
        <w:t>Thông tư s</w:t>
      </w:r>
      <w:r w:rsidRPr="00D57A0F">
        <w:rPr>
          <w:sz w:val="28"/>
          <w:szCs w:val="20"/>
        </w:rPr>
        <w:t>ố 04/2010/TT-BLĐTBXH ngày 29/01/2010</w:t>
      </w:r>
      <w:r w:rsidR="00BC6FF7" w:rsidRPr="00BC6FF7">
        <w:rPr>
          <w:sz w:val="28"/>
          <w:szCs w:val="20"/>
        </w:rPr>
        <w:t xml:space="preserve"> </w:t>
      </w:r>
      <w:r w:rsidR="00BC6FF7">
        <w:rPr>
          <w:sz w:val="28"/>
          <w:szCs w:val="20"/>
        </w:rPr>
        <w:t>của Bộ trưởng Bộ Lao động – Thương binh và Xã hội</w:t>
      </w:r>
      <w:r w:rsidR="00BC6FF7">
        <w:rPr>
          <w:sz w:val="28"/>
          <w:szCs w:val="20"/>
        </w:rPr>
        <w:t xml:space="preserve"> q</w:t>
      </w:r>
      <w:r w:rsidRPr="00D57A0F">
        <w:rPr>
          <w:sz w:val="28"/>
          <w:szCs w:val="20"/>
        </w:rPr>
        <w:t>uy định mức điều chỉnh tiền lương, tiền công và thu nhập tháng đã đóng bảo hiểm xã hội.</w:t>
      </w:r>
    </w:p>
    <w:p w:rsidR="00D57A0F" w:rsidRDefault="00F11F01" w:rsidP="008E2164">
      <w:pPr>
        <w:spacing w:after="120" w:line="264" w:lineRule="auto"/>
        <w:ind w:firstLine="720"/>
        <w:jc w:val="both"/>
        <w:rPr>
          <w:sz w:val="28"/>
          <w:szCs w:val="20"/>
        </w:rPr>
      </w:pPr>
      <w:r w:rsidRPr="00D57A0F">
        <w:rPr>
          <w:sz w:val="28"/>
          <w:szCs w:val="20"/>
        </w:rPr>
        <w:t xml:space="preserve">9. </w:t>
      </w:r>
      <w:r w:rsidR="00A93693">
        <w:rPr>
          <w:sz w:val="28"/>
          <w:szCs w:val="20"/>
        </w:rPr>
        <w:t>Thông tư s</w:t>
      </w:r>
      <w:r w:rsidRPr="00D57A0F">
        <w:rPr>
          <w:sz w:val="28"/>
          <w:szCs w:val="20"/>
        </w:rPr>
        <w:t>ố 15/2010/TT-BLĐTBXH</w:t>
      </w:r>
      <w:r w:rsidR="00D57A0F">
        <w:rPr>
          <w:sz w:val="28"/>
          <w:szCs w:val="20"/>
        </w:rPr>
        <w:t xml:space="preserve"> </w:t>
      </w:r>
      <w:r w:rsidRPr="00D57A0F">
        <w:rPr>
          <w:sz w:val="28"/>
          <w:szCs w:val="20"/>
        </w:rPr>
        <w:t xml:space="preserve">ngày 20/4/2010 </w:t>
      </w:r>
      <w:r w:rsidR="00BC6FF7">
        <w:rPr>
          <w:sz w:val="28"/>
          <w:szCs w:val="20"/>
        </w:rPr>
        <w:t>của Bộ trưởng Bộ Lao động – Thương binh và Xã hội</w:t>
      </w:r>
      <w:r w:rsidR="00BC6FF7" w:rsidRPr="00D57A0F">
        <w:rPr>
          <w:sz w:val="28"/>
          <w:szCs w:val="20"/>
        </w:rPr>
        <w:t xml:space="preserve"> </w:t>
      </w:r>
      <w:r w:rsidR="00BC6FF7">
        <w:rPr>
          <w:sz w:val="28"/>
          <w:szCs w:val="20"/>
        </w:rPr>
        <w:t>h</w:t>
      </w:r>
      <w:r w:rsidRPr="00D57A0F">
        <w:rPr>
          <w:sz w:val="28"/>
          <w:szCs w:val="20"/>
        </w:rPr>
        <w:t>ướng dẫn điều chỉnh lương hưu, trợ cấp bảo hiểm xã hội và trợ cấp hàng tháng theo Nghị định số 28/2010/NĐ-CP và Nghị định số 29/2010/NĐ-</w:t>
      </w:r>
      <w:r w:rsidR="00D57A0F">
        <w:rPr>
          <w:sz w:val="28"/>
          <w:szCs w:val="20"/>
        </w:rPr>
        <w:t>CP ngày 25/3/2010 của Chính phủ.</w:t>
      </w:r>
    </w:p>
    <w:p w:rsidR="00F11F01" w:rsidRPr="00D57A0F" w:rsidRDefault="00F11F01" w:rsidP="008E2164">
      <w:pPr>
        <w:spacing w:after="120" w:line="264" w:lineRule="auto"/>
        <w:ind w:firstLine="720"/>
        <w:jc w:val="both"/>
        <w:rPr>
          <w:sz w:val="28"/>
          <w:szCs w:val="20"/>
        </w:rPr>
      </w:pPr>
      <w:r w:rsidRPr="00D57A0F">
        <w:rPr>
          <w:sz w:val="28"/>
          <w:szCs w:val="20"/>
        </w:rPr>
        <w:t xml:space="preserve">10. </w:t>
      </w:r>
      <w:r w:rsidR="00A93693">
        <w:rPr>
          <w:sz w:val="28"/>
          <w:szCs w:val="20"/>
        </w:rPr>
        <w:t>Thông tư s</w:t>
      </w:r>
      <w:r w:rsidR="00D57A0F" w:rsidRPr="00D57A0F">
        <w:rPr>
          <w:sz w:val="28"/>
          <w:szCs w:val="20"/>
        </w:rPr>
        <w:t xml:space="preserve">ố 02/2011/TT-BLĐTBXH ngày 20/01/2011 </w:t>
      </w:r>
      <w:r w:rsidR="00BC6FF7">
        <w:rPr>
          <w:sz w:val="28"/>
          <w:szCs w:val="20"/>
        </w:rPr>
        <w:t>của Bộ trưởng Bộ Lao động – Thương binh và Xã hội</w:t>
      </w:r>
      <w:r w:rsidR="00BC6FF7" w:rsidRPr="00D57A0F">
        <w:rPr>
          <w:sz w:val="28"/>
          <w:szCs w:val="20"/>
        </w:rPr>
        <w:t xml:space="preserve"> </w:t>
      </w:r>
      <w:r w:rsidR="00BC6FF7">
        <w:rPr>
          <w:sz w:val="28"/>
          <w:szCs w:val="20"/>
        </w:rPr>
        <w:t>q</w:t>
      </w:r>
      <w:r w:rsidR="00D57A0F" w:rsidRPr="00D57A0F">
        <w:rPr>
          <w:sz w:val="28"/>
          <w:szCs w:val="20"/>
        </w:rPr>
        <w:t>uy định mức điều chỉnh tiền lương, tiền công và thu nhập tháng đã đóng bảo hiểm xã hội.</w:t>
      </w:r>
    </w:p>
    <w:p w:rsidR="00707987" w:rsidRPr="00D57A0F" w:rsidRDefault="00D57A0F" w:rsidP="008E2164">
      <w:pPr>
        <w:spacing w:after="120" w:line="264" w:lineRule="auto"/>
        <w:ind w:firstLine="720"/>
        <w:jc w:val="both"/>
        <w:rPr>
          <w:sz w:val="28"/>
          <w:szCs w:val="20"/>
        </w:rPr>
      </w:pPr>
      <w:r>
        <w:rPr>
          <w:sz w:val="28"/>
          <w:szCs w:val="20"/>
        </w:rPr>
        <w:t xml:space="preserve">11. </w:t>
      </w:r>
      <w:r w:rsidR="00A93693">
        <w:rPr>
          <w:sz w:val="28"/>
          <w:szCs w:val="20"/>
        </w:rPr>
        <w:t>Thông tư s</w:t>
      </w:r>
      <w:r w:rsidRPr="00D57A0F">
        <w:rPr>
          <w:sz w:val="28"/>
          <w:szCs w:val="20"/>
        </w:rPr>
        <w:t xml:space="preserve">ố 13/2011/TT-BLĐTBXH ngày 27/4/2011 </w:t>
      </w:r>
      <w:r w:rsidR="00BC6FF7">
        <w:rPr>
          <w:sz w:val="28"/>
          <w:szCs w:val="20"/>
        </w:rPr>
        <w:t>của Bộ trưởng Bộ Lao động – Thương binh và Xã hội</w:t>
      </w:r>
      <w:r w:rsidR="00BC6FF7" w:rsidRPr="00D57A0F">
        <w:rPr>
          <w:sz w:val="28"/>
          <w:szCs w:val="20"/>
        </w:rPr>
        <w:t xml:space="preserve"> </w:t>
      </w:r>
      <w:r w:rsidR="00BC6FF7">
        <w:rPr>
          <w:sz w:val="28"/>
          <w:szCs w:val="20"/>
        </w:rPr>
        <w:t>h</w:t>
      </w:r>
      <w:r w:rsidRPr="00D57A0F">
        <w:rPr>
          <w:sz w:val="28"/>
          <w:szCs w:val="20"/>
        </w:rPr>
        <w:t>ướng dẫn điều chỉnh lương hưu, trợ cấp bảo hiểm xã hội và trợ cấp hàng tháng theo Nghị định số 23/2011/NĐ-CP và Nghị định số 22/2011/NĐ-CP ngày 04/4/2011 của Chính phủ.</w:t>
      </w:r>
    </w:p>
    <w:p w:rsidR="00D57A0F" w:rsidRPr="00D57A0F" w:rsidRDefault="00D57A0F" w:rsidP="008E2164">
      <w:pPr>
        <w:spacing w:after="120" w:line="264" w:lineRule="auto"/>
        <w:ind w:firstLine="720"/>
        <w:jc w:val="both"/>
        <w:rPr>
          <w:sz w:val="28"/>
          <w:szCs w:val="20"/>
        </w:rPr>
      </w:pPr>
      <w:r w:rsidRPr="00D57A0F">
        <w:rPr>
          <w:sz w:val="28"/>
          <w:szCs w:val="20"/>
        </w:rPr>
        <w:t xml:space="preserve">11. </w:t>
      </w:r>
      <w:r w:rsidR="00A93693">
        <w:rPr>
          <w:sz w:val="28"/>
          <w:szCs w:val="20"/>
        </w:rPr>
        <w:t>Thông tư s</w:t>
      </w:r>
      <w:r w:rsidRPr="00D57A0F">
        <w:rPr>
          <w:sz w:val="28"/>
          <w:szCs w:val="20"/>
        </w:rPr>
        <w:t xml:space="preserve">ố 01/2012/TT-BLĐTBXH ngày 05/01/2012 </w:t>
      </w:r>
      <w:r w:rsidR="00BC6FF7">
        <w:rPr>
          <w:sz w:val="28"/>
          <w:szCs w:val="20"/>
        </w:rPr>
        <w:t>của Bộ trưởng Bộ Lao động – Thương binh và Xã hội</w:t>
      </w:r>
      <w:r w:rsidR="00BC6FF7" w:rsidRPr="00D57A0F">
        <w:rPr>
          <w:sz w:val="28"/>
          <w:szCs w:val="20"/>
        </w:rPr>
        <w:t xml:space="preserve"> </w:t>
      </w:r>
      <w:r w:rsidRPr="00D57A0F">
        <w:rPr>
          <w:sz w:val="28"/>
          <w:szCs w:val="20"/>
        </w:rPr>
        <w:t>quy định mức điều chỉnh tiền lương, tiền công và thu nhập tháng đóng bảo hiểm xã hội.</w:t>
      </w:r>
    </w:p>
    <w:p w:rsidR="00D57A0F" w:rsidRPr="00D57A0F" w:rsidRDefault="00D57A0F" w:rsidP="008E2164">
      <w:pPr>
        <w:spacing w:after="120" w:line="264" w:lineRule="auto"/>
        <w:ind w:firstLine="720"/>
        <w:jc w:val="both"/>
        <w:rPr>
          <w:sz w:val="28"/>
          <w:szCs w:val="20"/>
        </w:rPr>
      </w:pPr>
      <w:r w:rsidRPr="00D57A0F">
        <w:rPr>
          <w:sz w:val="28"/>
          <w:szCs w:val="20"/>
        </w:rPr>
        <w:t xml:space="preserve">12. </w:t>
      </w:r>
      <w:r w:rsidR="00A93693">
        <w:rPr>
          <w:sz w:val="28"/>
          <w:szCs w:val="20"/>
        </w:rPr>
        <w:t>Thông tư s</w:t>
      </w:r>
      <w:r w:rsidRPr="00D57A0F">
        <w:rPr>
          <w:sz w:val="28"/>
          <w:szCs w:val="20"/>
        </w:rPr>
        <w:t xml:space="preserve">ố 09/2012/TT-BLĐTBXH ngày 26/4/2012 </w:t>
      </w:r>
      <w:r w:rsidR="00BC6FF7">
        <w:rPr>
          <w:sz w:val="28"/>
          <w:szCs w:val="20"/>
        </w:rPr>
        <w:t>của Bộ trưởng Bộ Lao động – Thương binh và Xã hội</w:t>
      </w:r>
      <w:r w:rsidR="00BC6FF7" w:rsidRPr="00D57A0F">
        <w:rPr>
          <w:sz w:val="28"/>
          <w:szCs w:val="20"/>
        </w:rPr>
        <w:t xml:space="preserve"> </w:t>
      </w:r>
      <w:r w:rsidRPr="00D57A0F">
        <w:rPr>
          <w:sz w:val="28"/>
          <w:szCs w:val="20"/>
        </w:rPr>
        <w:t>hướng dẫn điều chỉnh lương hưu, trợ cấp bảo hiểm xã hội và trợ cấp hàng tháng theo Nghị định 35/2012/NĐ-CP ngày 18/04/2012 và Nghị định 31/2012/NĐ-CP ngày 12/04/2012 của Chính phủ.</w:t>
      </w:r>
    </w:p>
    <w:p w:rsidR="00D57A0F" w:rsidRPr="00D57A0F" w:rsidRDefault="00D57A0F" w:rsidP="008E2164">
      <w:pPr>
        <w:spacing w:after="120" w:line="264" w:lineRule="auto"/>
        <w:ind w:firstLine="720"/>
        <w:jc w:val="both"/>
        <w:rPr>
          <w:sz w:val="28"/>
          <w:szCs w:val="20"/>
        </w:rPr>
      </w:pPr>
      <w:r w:rsidRPr="00D57A0F">
        <w:rPr>
          <w:sz w:val="28"/>
          <w:szCs w:val="20"/>
        </w:rPr>
        <w:lastRenderedPageBreak/>
        <w:t xml:space="preserve">13. </w:t>
      </w:r>
      <w:r w:rsidR="00A93693">
        <w:rPr>
          <w:sz w:val="28"/>
          <w:szCs w:val="20"/>
        </w:rPr>
        <w:t>Thông tư s</w:t>
      </w:r>
      <w:r w:rsidRPr="00D57A0F">
        <w:rPr>
          <w:sz w:val="28"/>
          <w:szCs w:val="20"/>
        </w:rPr>
        <w:t xml:space="preserve">ố 01/2013/TT-BLĐTBXH ngày 30/01/2013 </w:t>
      </w:r>
      <w:r w:rsidR="00BC6FF7">
        <w:rPr>
          <w:sz w:val="28"/>
          <w:szCs w:val="20"/>
        </w:rPr>
        <w:t>của Bộ trưởng Bộ Lao động – Thương binh và Xã hội</w:t>
      </w:r>
      <w:r w:rsidR="00BC6FF7" w:rsidRPr="00D57A0F">
        <w:rPr>
          <w:sz w:val="28"/>
          <w:szCs w:val="20"/>
        </w:rPr>
        <w:t xml:space="preserve"> </w:t>
      </w:r>
      <w:r w:rsidRPr="00D57A0F">
        <w:rPr>
          <w:sz w:val="28"/>
          <w:szCs w:val="20"/>
        </w:rPr>
        <w:t>quy định mức điều chỉnh tiền lương, tiền công và thu nhập tháng đã đóng bảo hiểm xã hội.</w:t>
      </w:r>
    </w:p>
    <w:p w:rsidR="00D57A0F" w:rsidRPr="00D57A0F" w:rsidRDefault="00D57A0F" w:rsidP="008E2164">
      <w:pPr>
        <w:spacing w:after="120" w:line="264" w:lineRule="auto"/>
        <w:ind w:firstLine="720"/>
        <w:jc w:val="both"/>
        <w:rPr>
          <w:sz w:val="28"/>
          <w:szCs w:val="20"/>
        </w:rPr>
      </w:pPr>
      <w:r w:rsidRPr="00D57A0F">
        <w:rPr>
          <w:sz w:val="28"/>
          <w:szCs w:val="20"/>
        </w:rPr>
        <w:t xml:space="preserve">14. </w:t>
      </w:r>
      <w:r w:rsidR="00A93693">
        <w:rPr>
          <w:sz w:val="28"/>
          <w:szCs w:val="20"/>
        </w:rPr>
        <w:t>Thông tư s</w:t>
      </w:r>
      <w:r w:rsidRPr="00D57A0F">
        <w:rPr>
          <w:sz w:val="28"/>
          <w:szCs w:val="20"/>
        </w:rPr>
        <w:t xml:space="preserve">ố 13/2013/TT-BLĐTBXH ngày 21/8/2013 </w:t>
      </w:r>
      <w:r w:rsidR="00BC6FF7">
        <w:rPr>
          <w:sz w:val="28"/>
          <w:szCs w:val="20"/>
        </w:rPr>
        <w:t>của Bộ trưởng Bộ Lao động – Thương binh và Xã hội</w:t>
      </w:r>
      <w:r w:rsidR="00BC6FF7" w:rsidRPr="00D57A0F">
        <w:rPr>
          <w:sz w:val="28"/>
          <w:szCs w:val="20"/>
        </w:rPr>
        <w:t xml:space="preserve"> </w:t>
      </w:r>
      <w:r w:rsidRPr="00D57A0F">
        <w:rPr>
          <w:sz w:val="28"/>
          <w:szCs w:val="20"/>
        </w:rPr>
        <w:t>hướng dẫn điều chỉnh lương hưu, trợ cấp bảo hiểm xã hội và trợ cấp hàng tháng theo Nghị định 73/2013/NĐ-CP ngày 15/07/2013 của Chính phủ.</w:t>
      </w:r>
    </w:p>
    <w:p w:rsidR="00D57A0F" w:rsidRPr="00D57A0F" w:rsidRDefault="00D57A0F" w:rsidP="008E2164">
      <w:pPr>
        <w:spacing w:after="120" w:line="264" w:lineRule="auto"/>
        <w:ind w:firstLine="720"/>
        <w:jc w:val="both"/>
        <w:rPr>
          <w:sz w:val="28"/>
          <w:szCs w:val="20"/>
        </w:rPr>
      </w:pPr>
      <w:r w:rsidRPr="00D57A0F">
        <w:rPr>
          <w:sz w:val="28"/>
          <w:szCs w:val="20"/>
        </w:rPr>
        <w:t xml:space="preserve">15. </w:t>
      </w:r>
      <w:r w:rsidR="00A93693">
        <w:rPr>
          <w:sz w:val="28"/>
          <w:szCs w:val="20"/>
        </w:rPr>
        <w:t>Thông tư s</w:t>
      </w:r>
      <w:r w:rsidRPr="00D57A0F">
        <w:rPr>
          <w:sz w:val="28"/>
          <w:szCs w:val="20"/>
        </w:rPr>
        <w:t xml:space="preserve">ố 02/2014/TT-BLĐTBXH ngày 10/01/2014 </w:t>
      </w:r>
      <w:r w:rsidR="00BC6FF7">
        <w:rPr>
          <w:sz w:val="28"/>
          <w:szCs w:val="20"/>
        </w:rPr>
        <w:t>của Bộ trưởng Bộ Lao động – Thương binh và Xã hội</w:t>
      </w:r>
      <w:r w:rsidR="00BC6FF7" w:rsidRPr="00D57A0F">
        <w:rPr>
          <w:sz w:val="28"/>
          <w:szCs w:val="20"/>
        </w:rPr>
        <w:t xml:space="preserve"> </w:t>
      </w:r>
      <w:r w:rsidRPr="00D57A0F">
        <w:rPr>
          <w:sz w:val="28"/>
          <w:szCs w:val="20"/>
        </w:rPr>
        <w:t>quy định mức điều chỉnh tiền lương, tiền công và thu nhập tháng đã đóng bảo hiểm xã hội.</w:t>
      </w:r>
    </w:p>
    <w:p w:rsidR="00634EA8" w:rsidRDefault="00D57A0F" w:rsidP="008E2164">
      <w:pPr>
        <w:spacing w:after="120" w:line="264" w:lineRule="auto"/>
        <w:ind w:firstLine="720"/>
        <w:jc w:val="both"/>
        <w:rPr>
          <w:sz w:val="28"/>
          <w:szCs w:val="20"/>
        </w:rPr>
      </w:pPr>
      <w:r w:rsidRPr="00D57A0F">
        <w:rPr>
          <w:sz w:val="28"/>
          <w:szCs w:val="20"/>
        </w:rPr>
        <w:t xml:space="preserve">16. </w:t>
      </w:r>
      <w:r w:rsidR="00A93693">
        <w:rPr>
          <w:sz w:val="28"/>
          <w:szCs w:val="20"/>
        </w:rPr>
        <w:t>Thông tư s</w:t>
      </w:r>
      <w:r w:rsidRPr="00D57A0F">
        <w:rPr>
          <w:sz w:val="28"/>
          <w:szCs w:val="20"/>
        </w:rPr>
        <w:t xml:space="preserve">ố 03/2015/TT-BLĐTBXH ngày 23/01/2015 </w:t>
      </w:r>
      <w:r w:rsidR="00BC6FF7">
        <w:rPr>
          <w:sz w:val="28"/>
          <w:szCs w:val="20"/>
        </w:rPr>
        <w:t>của Bộ trưởng Bộ Lao động – Thương binh và Xã hội</w:t>
      </w:r>
      <w:r w:rsidR="00BC6FF7" w:rsidRPr="00D57A0F">
        <w:rPr>
          <w:sz w:val="28"/>
          <w:szCs w:val="20"/>
        </w:rPr>
        <w:t xml:space="preserve"> </w:t>
      </w:r>
      <w:r w:rsidRPr="00D57A0F">
        <w:rPr>
          <w:sz w:val="28"/>
          <w:szCs w:val="20"/>
        </w:rPr>
        <w:t>quy định mức điều chỉnh tiền lương, tiền công và thu nhập tháng đã đóng bảo hiểm xã hội</w:t>
      </w:r>
      <w:r w:rsidR="00A93693">
        <w:rPr>
          <w:sz w:val="28"/>
          <w:szCs w:val="20"/>
        </w:rPr>
        <w:t>.</w:t>
      </w:r>
    </w:p>
    <w:p w:rsidR="00D57A0F" w:rsidRDefault="00D57A0F" w:rsidP="008E2164">
      <w:pPr>
        <w:spacing w:after="120" w:line="264" w:lineRule="auto"/>
        <w:ind w:firstLine="720"/>
        <w:jc w:val="both"/>
        <w:rPr>
          <w:sz w:val="28"/>
          <w:szCs w:val="20"/>
        </w:rPr>
      </w:pPr>
      <w:r w:rsidRPr="00D57A0F">
        <w:rPr>
          <w:sz w:val="28"/>
          <w:szCs w:val="20"/>
        </w:rPr>
        <w:t xml:space="preserve">17. </w:t>
      </w:r>
      <w:r w:rsidR="00A93693">
        <w:rPr>
          <w:sz w:val="28"/>
          <w:szCs w:val="20"/>
        </w:rPr>
        <w:t>Thông tư s</w:t>
      </w:r>
      <w:r w:rsidRPr="00D57A0F">
        <w:rPr>
          <w:sz w:val="28"/>
          <w:szCs w:val="20"/>
        </w:rPr>
        <w:t xml:space="preserve">ố 05/2015/TT-BLĐTBXH ngày 02/02/2015 </w:t>
      </w:r>
      <w:r w:rsidR="00BC6FF7">
        <w:rPr>
          <w:sz w:val="28"/>
          <w:szCs w:val="20"/>
        </w:rPr>
        <w:t>của Bộ trưởng Bộ Lao động – Thương binh và Xã hội</w:t>
      </w:r>
      <w:r w:rsidR="00BC6FF7" w:rsidRPr="00D57A0F">
        <w:rPr>
          <w:sz w:val="28"/>
          <w:szCs w:val="20"/>
        </w:rPr>
        <w:t xml:space="preserve"> </w:t>
      </w:r>
      <w:r w:rsidRPr="00D57A0F">
        <w:rPr>
          <w:sz w:val="28"/>
          <w:szCs w:val="20"/>
        </w:rPr>
        <w:t>hướng dẫn điều chỉnh lương hưu, trợ cấp bảo hiểm xã hội và trợ cấp hàng tháng theo Nghị định 09/2015/NĐ-CP ngày 22/01/2015 của Chính phủ</w:t>
      </w:r>
      <w:r>
        <w:rPr>
          <w:sz w:val="28"/>
          <w:szCs w:val="20"/>
        </w:rPr>
        <w:t>.</w:t>
      </w:r>
    </w:p>
    <w:p w:rsidR="00D57A0F" w:rsidRPr="00513C54" w:rsidRDefault="00D57A0F" w:rsidP="008E2164">
      <w:pPr>
        <w:spacing w:after="120" w:line="264" w:lineRule="auto"/>
        <w:ind w:firstLine="720"/>
        <w:jc w:val="both"/>
        <w:rPr>
          <w:b/>
          <w:sz w:val="28"/>
          <w:szCs w:val="20"/>
        </w:rPr>
      </w:pPr>
      <w:r w:rsidRPr="00513C54">
        <w:rPr>
          <w:b/>
          <w:sz w:val="28"/>
          <w:szCs w:val="20"/>
        </w:rPr>
        <w:t>IV. Lĩnh vực Người có công</w:t>
      </w:r>
    </w:p>
    <w:p w:rsidR="00D57A0F" w:rsidRDefault="00D57A0F" w:rsidP="008E2164">
      <w:pPr>
        <w:spacing w:after="120" w:line="264" w:lineRule="auto"/>
        <w:ind w:firstLine="720"/>
        <w:jc w:val="both"/>
        <w:rPr>
          <w:sz w:val="28"/>
          <w:szCs w:val="20"/>
        </w:rPr>
      </w:pPr>
      <w:r>
        <w:rPr>
          <w:sz w:val="28"/>
          <w:szCs w:val="20"/>
        </w:rPr>
        <w:t xml:space="preserve">1. </w:t>
      </w:r>
      <w:r w:rsidR="00A93693">
        <w:rPr>
          <w:sz w:val="28"/>
          <w:szCs w:val="20"/>
        </w:rPr>
        <w:t xml:space="preserve">Thông tư liên tịch số </w:t>
      </w:r>
      <w:r w:rsidRPr="00D57A0F">
        <w:rPr>
          <w:sz w:val="28"/>
          <w:szCs w:val="20"/>
        </w:rPr>
        <w:t xml:space="preserve">16/2006/TTLT-BLĐTBXH-BGDĐT-BTC ngày 20/11/2006 </w:t>
      </w:r>
      <w:r w:rsidR="00BC6FF7">
        <w:rPr>
          <w:sz w:val="28"/>
          <w:szCs w:val="20"/>
        </w:rPr>
        <w:t>của Bộ trưởng Bộ Lao động – Thương binh và Xã hội</w:t>
      </w:r>
      <w:r w:rsidR="00BC6FF7">
        <w:rPr>
          <w:sz w:val="28"/>
          <w:szCs w:val="20"/>
        </w:rPr>
        <w:t>, Bộ Giáo dục và Đào tạo, Bộ Tài chính</w:t>
      </w:r>
      <w:r w:rsidRPr="00D57A0F">
        <w:rPr>
          <w:sz w:val="28"/>
          <w:szCs w:val="20"/>
        </w:rPr>
        <w:t xml:space="preserve"> hướng dẫn về chế độ ưu đãi trong giáo dục và đào tạo đối với người có công với cách mạng và con của họ</w:t>
      </w:r>
      <w:r w:rsidR="00A93693">
        <w:rPr>
          <w:sz w:val="28"/>
          <w:szCs w:val="20"/>
        </w:rPr>
        <w:t>.</w:t>
      </w:r>
    </w:p>
    <w:p w:rsidR="00D57A0F" w:rsidRPr="00513C54" w:rsidRDefault="00D57A0F" w:rsidP="008E2164">
      <w:pPr>
        <w:spacing w:after="120" w:line="264" w:lineRule="auto"/>
        <w:ind w:firstLine="720"/>
        <w:jc w:val="both"/>
        <w:rPr>
          <w:b/>
          <w:sz w:val="28"/>
          <w:szCs w:val="20"/>
        </w:rPr>
      </w:pPr>
      <w:r w:rsidRPr="00513C54">
        <w:rPr>
          <w:b/>
          <w:sz w:val="28"/>
          <w:szCs w:val="20"/>
        </w:rPr>
        <w:t>V. Lĩnh vực Phòng, chống mại dâm</w:t>
      </w:r>
    </w:p>
    <w:p w:rsidR="00D57A0F" w:rsidRPr="00D57A0F" w:rsidRDefault="00D57A0F" w:rsidP="008E2164">
      <w:pPr>
        <w:spacing w:after="120" w:line="264" w:lineRule="auto"/>
        <w:ind w:firstLine="720"/>
        <w:jc w:val="both"/>
        <w:rPr>
          <w:sz w:val="28"/>
          <w:szCs w:val="20"/>
        </w:rPr>
      </w:pPr>
      <w:r w:rsidRPr="00D57A0F">
        <w:rPr>
          <w:sz w:val="28"/>
          <w:szCs w:val="20"/>
        </w:rPr>
        <w:t xml:space="preserve">1. Thông tư liên tịch số 14/2012/TTLT-BLĐTBXH-BCA ngày 06/6/2012 </w:t>
      </w:r>
      <w:r w:rsidR="00BC6FF7">
        <w:rPr>
          <w:sz w:val="28"/>
          <w:szCs w:val="20"/>
        </w:rPr>
        <w:t>của Bộ trưởng Bộ Lao động – Thương binh và Xã hội</w:t>
      </w:r>
      <w:r w:rsidR="00BC6FF7">
        <w:rPr>
          <w:sz w:val="28"/>
          <w:szCs w:val="20"/>
        </w:rPr>
        <w:t>, Bộ Công an q</w:t>
      </w:r>
      <w:r w:rsidRPr="00D57A0F">
        <w:rPr>
          <w:sz w:val="28"/>
          <w:szCs w:val="20"/>
        </w:rPr>
        <w:t>uy định chi tiết chế độ áp dụng biện pháp xử lý hành chính đưa vào cơ sở chữa bệnh và chế độ áp dụng đối với người chưa thành niên, người tự nguyện vào cơ sở chữa bệnh</w:t>
      </w:r>
      <w:r w:rsidR="00A93693">
        <w:rPr>
          <w:sz w:val="28"/>
          <w:szCs w:val="20"/>
        </w:rPr>
        <w:t>.</w:t>
      </w:r>
    </w:p>
    <w:p w:rsidR="00D57A0F" w:rsidRPr="00513C54" w:rsidRDefault="00D57A0F" w:rsidP="008E2164">
      <w:pPr>
        <w:spacing w:after="120" w:line="264" w:lineRule="auto"/>
        <w:ind w:firstLine="720"/>
        <w:jc w:val="both"/>
        <w:rPr>
          <w:b/>
          <w:sz w:val="28"/>
          <w:szCs w:val="20"/>
        </w:rPr>
      </w:pPr>
      <w:r w:rsidRPr="00513C54">
        <w:rPr>
          <w:b/>
          <w:sz w:val="28"/>
          <w:szCs w:val="20"/>
        </w:rPr>
        <w:t>VI. Lĩnh vực trẻ em</w:t>
      </w:r>
    </w:p>
    <w:p w:rsidR="00D57A0F" w:rsidRPr="00D57A0F" w:rsidRDefault="00D57A0F" w:rsidP="008E2164">
      <w:pPr>
        <w:spacing w:after="120" w:line="264" w:lineRule="auto"/>
        <w:ind w:firstLine="720"/>
        <w:jc w:val="both"/>
        <w:rPr>
          <w:sz w:val="28"/>
          <w:szCs w:val="20"/>
        </w:rPr>
      </w:pPr>
      <w:r>
        <w:rPr>
          <w:sz w:val="28"/>
          <w:szCs w:val="20"/>
        </w:rPr>
        <w:t xml:space="preserve">1. Thông tư liên tịch số </w:t>
      </w:r>
      <w:r w:rsidRPr="00D57A0F">
        <w:rPr>
          <w:sz w:val="28"/>
          <w:szCs w:val="20"/>
        </w:rPr>
        <w:t xml:space="preserve"> 02/1999/TTLT-BVCSTE-HLHPN</w:t>
      </w:r>
      <w:r w:rsidR="00F840D5">
        <w:rPr>
          <w:sz w:val="28"/>
          <w:szCs w:val="20"/>
        </w:rPr>
        <w:t xml:space="preserve"> </w:t>
      </w:r>
      <w:r w:rsidRPr="00D57A0F">
        <w:rPr>
          <w:sz w:val="28"/>
          <w:szCs w:val="20"/>
        </w:rPr>
        <w:t xml:space="preserve">ngày 02/7/1999 </w:t>
      </w:r>
      <w:r w:rsidR="00F840D5">
        <w:rPr>
          <w:sz w:val="28"/>
          <w:szCs w:val="20"/>
        </w:rPr>
        <w:t>của Ủy ban bảo vệ chăm sóc trẻ em Việt Nam và Hội liên hiệp phụ nữ Việt Nam v</w:t>
      </w:r>
      <w:r w:rsidRPr="00D57A0F">
        <w:rPr>
          <w:sz w:val="28"/>
          <w:szCs w:val="20"/>
        </w:rPr>
        <w:t>ề</w:t>
      </w:r>
      <w:r w:rsidR="00F840D5">
        <w:rPr>
          <w:sz w:val="28"/>
          <w:szCs w:val="20"/>
        </w:rPr>
        <w:t xml:space="preserve"> việc</w:t>
      </w:r>
      <w:r w:rsidRPr="00D57A0F">
        <w:rPr>
          <w:sz w:val="28"/>
          <w:szCs w:val="20"/>
        </w:rPr>
        <w:t xml:space="preserve"> tăng cường phối hợp hoạt động xây dựng gia đình hạnh phúc, nuôi dạy con tốt, ngăn chặn tình trạng xâm hại trẻ em, đặc biệt là trẻ em gái.</w:t>
      </w:r>
    </w:p>
    <w:p w:rsidR="00D57A0F" w:rsidRPr="00D57A0F" w:rsidRDefault="00D57A0F" w:rsidP="008E2164">
      <w:pPr>
        <w:spacing w:after="120" w:line="264" w:lineRule="auto"/>
        <w:ind w:firstLine="720"/>
        <w:jc w:val="both"/>
        <w:rPr>
          <w:sz w:val="28"/>
          <w:szCs w:val="20"/>
        </w:rPr>
      </w:pPr>
      <w:r w:rsidRPr="00D57A0F">
        <w:rPr>
          <w:sz w:val="28"/>
          <w:szCs w:val="20"/>
        </w:rPr>
        <w:t>2. Thông tư liên tịch số 03/2002/TTLT-BVCSTE-VHTT-TƯĐTN ngày 07/5/2000</w:t>
      </w:r>
      <w:r w:rsidR="0015104B">
        <w:rPr>
          <w:sz w:val="28"/>
          <w:szCs w:val="20"/>
        </w:rPr>
        <w:t xml:space="preserve"> của </w:t>
      </w:r>
      <w:r w:rsidR="0015104B">
        <w:rPr>
          <w:sz w:val="28"/>
          <w:szCs w:val="20"/>
        </w:rPr>
        <w:t>Ủy ban bảo vệ chăm sóc trẻ em Việt Nam</w:t>
      </w:r>
      <w:r w:rsidR="0015104B">
        <w:rPr>
          <w:sz w:val="28"/>
          <w:szCs w:val="20"/>
        </w:rPr>
        <w:t xml:space="preserve">, Bộ Văn hóa truyền </w:t>
      </w:r>
      <w:r w:rsidR="0015104B">
        <w:rPr>
          <w:sz w:val="28"/>
          <w:szCs w:val="20"/>
        </w:rPr>
        <w:lastRenderedPageBreak/>
        <w:t>thông, Đoàn thanh niên cộng sản Hồ Chí Minh h</w:t>
      </w:r>
      <w:r w:rsidRPr="00D57A0F">
        <w:rPr>
          <w:sz w:val="28"/>
          <w:szCs w:val="20"/>
        </w:rPr>
        <w:t>ướng dẫn thực hiện Chỉ thị số 03/2000/CT-TTg ngày 24/01/2000 của Thủ tướng Chính phủ về việc đẩy mạnh các hoạt động văn hóa, vui chơi, gi</w:t>
      </w:r>
      <w:bookmarkStart w:id="0" w:name="_GoBack"/>
      <w:bookmarkEnd w:id="0"/>
      <w:r w:rsidRPr="00D57A0F">
        <w:rPr>
          <w:sz w:val="28"/>
          <w:szCs w:val="20"/>
        </w:rPr>
        <w:t>ải trí cho trẻ em.</w:t>
      </w:r>
    </w:p>
    <w:p w:rsidR="00E66943" w:rsidRPr="00A167B9" w:rsidRDefault="00E66943" w:rsidP="008E2164">
      <w:pPr>
        <w:pStyle w:val="NormalWeb"/>
        <w:spacing w:before="0" w:beforeAutospacing="0" w:after="120" w:afterAutospacing="0" w:line="264" w:lineRule="auto"/>
        <w:ind w:firstLine="720"/>
        <w:jc w:val="both"/>
        <w:rPr>
          <w:b/>
          <w:spacing w:val="-6"/>
          <w:sz w:val="28"/>
          <w:szCs w:val="20"/>
        </w:rPr>
      </w:pPr>
      <w:r w:rsidRPr="00A167B9">
        <w:rPr>
          <w:b/>
          <w:spacing w:val="-6"/>
          <w:sz w:val="28"/>
          <w:szCs w:val="20"/>
        </w:rPr>
        <w:t xml:space="preserve">Điều 2. Hiệu lực thi hành </w:t>
      </w:r>
    </w:p>
    <w:p w:rsidR="00E66943" w:rsidRPr="00A167B9" w:rsidRDefault="00E66943" w:rsidP="008E2164">
      <w:pPr>
        <w:pStyle w:val="NormalWeb"/>
        <w:spacing w:before="0" w:beforeAutospacing="0" w:after="120" w:afterAutospacing="0" w:line="264" w:lineRule="auto"/>
        <w:ind w:firstLine="720"/>
        <w:jc w:val="both"/>
        <w:rPr>
          <w:sz w:val="28"/>
          <w:szCs w:val="20"/>
        </w:rPr>
      </w:pPr>
      <w:r w:rsidRPr="00A167B9">
        <w:rPr>
          <w:sz w:val="28"/>
          <w:szCs w:val="20"/>
        </w:rPr>
        <w:t>Thông tư này có hiệu lực thi hành kể từ ngày</w:t>
      </w:r>
      <w:r w:rsidR="0058598D">
        <w:rPr>
          <w:sz w:val="28"/>
          <w:szCs w:val="20"/>
        </w:rPr>
        <w:t xml:space="preserve"> </w:t>
      </w:r>
      <w:r w:rsidR="00C00B33">
        <w:rPr>
          <w:sz w:val="28"/>
          <w:szCs w:val="20"/>
        </w:rPr>
        <w:t xml:space="preserve">    </w:t>
      </w:r>
      <w:r w:rsidRPr="00A167B9">
        <w:rPr>
          <w:sz w:val="28"/>
          <w:szCs w:val="20"/>
        </w:rPr>
        <w:t xml:space="preserve"> tháng</w:t>
      </w:r>
      <w:r w:rsidR="0058598D">
        <w:rPr>
          <w:sz w:val="28"/>
          <w:szCs w:val="20"/>
        </w:rPr>
        <w:t xml:space="preserve"> </w:t>
      </w:r>
      <w:r w:rsidR="00C00B33">
        <w:rPr>
          <w:sz w:val="28"/>
          <w:szCs w:val="20"/>
        </w:rPr>
        <w:t xml:space="preserve">    </w:t>
      </w:r>
      <w:r w:rsidRPr="00A167B9">
        <w:rPr>
          <w:sz w:val="28"/>
          <w:szCs w:val="20"/>
        </w:rPr>
        <w:t xml:space="preserve"> năm 20</w:t>
      </w:r>
      <w:r w:rsidR="00C00B33">
        <w:rPr>
          <w:sz w:val="28"/>
          <w:szCs w:val="20"/>
        </w:rPr>
        <w:t>20</w:t>
      </w:r>
      <w:r w:rsidRPr="00A167B9">
        <w:rPr>
          <w:sz w:val="28"/>
          <w:szCs w:val="20"/>
        </w:rPr>
        <w:t>.</w:t>
      </w:r>
    </w:p>
    <w:p w:rsidR="00E66943" w:rsidRPr="00A167B9" w:rsidRDefault="00E66943" w:rsidP="008E2164">
      <w:pPr>
        <w:pStyle w:val="NormalWeb"/>
        <w:spacing w:before="0" w:beforeAutospacing="0" w:after="120" w:afterAutospacing="0" w:line="264" w:lineRule="auto"/>
        <w:ind w:firstLine="720"/>
        <w:jc w:val="both"/>
        <w:rPr>
          <w:b/>
          <w:spacing w:val="-6"/>
          <w:sz w:val="28"/>
          <w:szCs w:val="20"/>
        </w:rPr>
      </w:pPr>
      <w:r w:rsidRPr="00A167B9">
        <w:rPr>
          <w:b/>
          <w:bCs/>
          <w:spacing w:val="-6"/>
          <w:sz w:val="28"/>
          <w:szCs w:val="20"/>
        </w:rPr>
        <w:t>Điều 3.</w:t>
      </w:r>
      <w:r w:rsidRPr="00A167B9">
        <w:rPr>
          <w:b/>
          <w:spacing w:val="-6"/>
          <w:sz w:val="28"/>
          <w:szCs w:val="20"/>
        </w:rPr>
        <w:t xml:space="preserve"> Tổ chức thực hiện</w:t>
      </w:r>
    </w:p>
    <w:p w:rsidR="00B725A4" w:rsidRPr="006828F5" w:rsidRDefault="00E66943" w:rsidP="008E2164">
      <w:pPr>
        <w:pStyle w:val="NormalWeb"/>
        <w:spacing w:before="0" w:beforeAutospacing="0" w:after="120" w:afterAutospacing="0" w:line="264" w:lineRule="auto"/>
        <w:ind w:firstLine="720"/>
        <w:jc w:val="both"/>
        <w:rPr>
          <w:spacing w:val="-6"/>
          <w:sz w:val="28"/>
          <w:szCs w:val="20"/>
        </w:rPr>
      </w:pPr>
      <w:r w:rsidRPr="00A167B9">
        <w:rPr>
          <w:spacing w:val="-6"/>
          <w:sz w:val="28"/>
          <w:szCs w:val="20"/>
        </w:rPr>
        <w:t>Vụ trưởng Vụ Pháp chế, Chánh Văn phòng Bộ, Chánh Thanh tra Bộ, Vụ trưởng, Cục trưởng, Tổng cục trưởng các Vụ, Cục, Tổng cục thuộc Bộ Lao động – Thương binh và Xã hội và các cơ quan, tổ chức, cá nhân có liên quan chịu trách nhiệm thi hành Thông tư này./.</w:t>
      </w:r>
    </w:p>
    <w:tbl>
      <w:tblPr>
        <w:tblW w:w="8931" w:type="dxa"/>
        <w:tblInd w:w="108" w:type="dxa"/>
        <w:tblCellMar>
          <w:left w:w="0" w:type="dxa"/>
          <w:right w:w="0" w:type="dxa"/>
        </w:tblCellMar>
        <w:tblLook w:val="04A0" w:firstRow="1" w:lastRow="0" w:firstColumn="1" w:lastColumn="0" w:noHBand="0" w:noVBand="1"/>
      </w:tblPr>
      <w:tblGrid>
        <w:gridCol w:w="5103"/>
        <w:gridCol w:w="3828"/>
      </w:tblGrid>
      <w:tr w:rsidR="00E66943" w:rsidRPr="005924FC" w:rsidTr="00787FFD">
        <w:tc>
          <w:tcPr>
            <w:tcW w:w="5103" w:type="dxa"/>
            <w:tcMar>
              <w:top w:w="0" w:type="dxa"/>
              <w:left w:w="108" w:type="dxa"/>
              <w:bottom w:w="0" w:type="dxa"/>
              <w:right w:w="108" w:type="dxa"/>
            </w:tcMar>
            <w:hideMark/>
          </w:tcPr>
          <w:p w:rsidR="00E66943" w:rsidRPr="00EF57BC" w:rsidRDefault="00E66943" w:rsidP="00A167B9">
            <w:pPr>
              <w:pStyle w:val="NormalWeb"/>
              <w:spacing w:before="0" w:beforeAutospacing="0" w:after="0" w:afterAutospacing="0"/>
              <w:rPr>
                <w:sz w:val="22"/>
                <w:szCs w:val="22"/>
              </w:rPr>
            </w:pPr>
            <w:r w:rsidRPr="005924FC">
              <w:rPr>
                <w:szCs w:val="20"/>
              </w:rPr>
              <w:t> </w:t>
            </w:r>
            <w:r w:rsidRPr="005924FC">
              <w:rPr>
                <w:b/>
                <w:bCs/>
                <w:i/>
                <w:iCs/>
                <w:szCs w:val="20"/>
              </w:rPr>
              <w:t>Nơi nhận:</w:t>
            </w:r>
            <w:r w:rsidRPr="005924FC">
              <w:rPr>
                <w:b/>
                <w:bCs/>
                <w:i/>
                <w:iCs/>
                <w:szCs w:val="20"/>
              </w:rPr>
              <w:br/>
            </w:r>
            <w:r w:rsidR="00A167B9" w:rsidRPr="00A167B9">
              <w:rPr>
                <w:sz w:val="22"/>
                <w:szCs w:val="22"/>
                <w:lang w:val="vi-VN"/>
              </w:rPr>
              <w:t>- Ban Bí thư Trung ương Đảng;</w:t>
            </w:r>
            <w:r w:rsidR="00A167B9" w:rsidRPr="00A167B9">
              <w:rPr>
                <w:sz w:val="22"/>
                <w:szCs w:val="22"/>
                <w:lang w:val="vi-VN"/>
              </w:rPr>
              <w:br/>
              <w:t>- Thủ tướng và các Phó Thủ tướng Chính phủ;</w:t>
            </w:r>
            <w:r w:rsidR="00A167B9" w:rsidRPr="00A167B9">
              <w:rPr>
                <w:sz w:val="22"/>
                <w:szCs w:val="22"/>
                <w:lang w:val="vi-VN"/>
              </w:rPr>
              <w:br/>
              <w:t>- Văn phòng Trung ương và các Ban của Đảng;</w:t>
            </w:r>
            <w:r w:rsidR="00A167B9" w:rsidRPr="00A167B9">
              <w:rPr>
                <w:sz w:val="22"/>
                <w:szCs w:val="22"/>
                <w:lang w:val="vi-VN"/>
              </w:rPr>
              <w:br/>
              <w:t>- Văn phòng Tổng Bí thư;</w:t>
            </w:r>
            <w:r w:rsidR="00A167B9" w:rsidRPr="00A167B9">
              <w:rPr>
                <w:sz w:val="22"/>
                <w:szCs w:val="22"/>
                <w:lang w:val="vi-VN"/>
              </w:rPr>
              <w:br/>
              <w:t>- Văn phòng Chủ tịch nước;</w:t>
            </w:r>
            <w:r w:rsidR="00A167B9" w:rsidRPr="00A167B9">
              <w:rPr>
                <w:sz w:val="22"/>
                <w:szCs w:val="22"/>
                <w:lang w:val="vi-VN"/>
              </w:rPr>
              <w:br/>
              <w:t>- Văn phòng Quốc hội, Hội đồng dân tộc và các Ủy ban của Quốc hội;</w:t>
            </w:r>
            <w:r w:rsidR="00A167B9" w:rsidRPr="00A167B9">
              <w:rPr>
                <w:sz w:val="22"/>
                <w:szCs w:val="22"/>
                <w:lang w:val="vi-VN"/>
              </w:rPr>
              <w:br/>
              <w:t>- Văn phòng Chính phủ;</w:t>
            </w:r>
            <w:r w:rsidR="00A167B9" w:rsidRPr="00A167B9">
              <w:rPr>
                <w:sz w:val="22"/>
                <w:szCs w:val="22"/>
                <w:lang w:val="vi-VN"/>
              </w:rPr>
              <w:br/>
              <w:t>- Tòa án nhân dân tối cao;</w:t>
            </w:r>
            <w:r w:rsidR="00A167B9" w:rsidRPr="00A167B9">
              <w:rPr>
                <w:sz w:val="22"/>
                <w:szCs w:val="22"/>
                <w:lang w:val="vi-VN"/>
              </w:rPr>
              <w:br/>
              <w:t>- Viện Kiểm sát nhân dân tối cao;</w:t>
            </w:r>
            <w:r w:rsidR="00A167B9" w:rsidRPr="00A167B9">
              <w:rPr>
                <w:sz w:val="22"/>
                <w:szCs w:val="22"/>
                <w:lang w:val="vi-VN"/>
              </w:rPr>
              <w:br/>
              <w:t>- Kiểm toán Nhà nước;</w:t>
            </w:r>
            <w:r w:rsidR="00A167B9" w:rsidRPr="00A167B9">
              <w:rPr>
                <w:sz w:val="22"/>
                <w:szCs w:val="22"/>
                <w:lang w:val="vi-VN"/>
              </w:rPr>
              <w:br/>
              <w:t>- Các Bộ, cơ quan ngang Bộ, cơ quan thuộc Chính phủ;</w:t>
            </w:r>
            <w:r w:rsidR="00A167B9" w:rsidRPr="00A167B9">
              <w:rPr>
                <w:sz w:val="22"/>
                <w:szCs w:val="22"/>
                <w:lang w:val="vi-VN"/>
              </w:rPr>
              <w:br/>
              <w:t>- Cơ quan Trung ương của các đoàn thể;</w:t>
            </w:r>
            <w:r w:rsidR="00A167B9" w:rsidRPr="00A167B9">
              <w:rPr>
                <w:sz w:val="22"/>
                <w:szCs w:val="22"/>
                <w:lang w:val="vi-VN"/>
              </w:rPr>
              <w:br/>
              <w:t>- HĐND, UBND, Sở LĐTBXH các tỉnh, thành phố trực thuộc Trung ương;</w:t>
            </w:r>
            <w:r w:rsidR="00A167B9" w:rsidRPr="00A167B9">
              <w:rPr>
                <w:sz w:val="22"/>
                <w:szCs w:val="22"/>
                <w:lang w:val="vi-VN"/>
              </w:rPr>
              <w:br/>
              <w:t>- Ủy ban Trung ương Mặt trận Tổ quốc Việt Nam;</w:t>
            </w:r>
            <w:r w:rsidR="00A167B9" w:rsidRPr="00A167B9">
              <w:rPr>
                <w:sz w:val="22"/>
                <w:szCs w:val="22"/>
                <w:lang w:val="vi-VN"/>
              </w:rPr>
              <w:br/>
              <w:t>- Cục Kiểm tra văn bản QPPL (Bộ Tư pháp);</w:t>
            </w:r>
            <w:r w:rsidR="00A167B9" w:rsidRPr="00A167B9">
              <w:rPr>
                <w:sz w:val="22"/>
                <w:szCs w:val="22"/>
                <w:lang w:val="vi-VN"/>
              </w:rPr>
              <w:br/>
              <w:t>- Công báo;</w:t>
            </w:r>
            <w:r w:rsidR="00A167B9" w:rsidRPr="00A167B9">
              <w:rPr>
                <w:sz w:val="22"/>
                <w:szCs w:val="22"/>
                <w:lang w:val="vi-VN"/>
              </w:rPr>
              <w:br/>
              <w:t>- Cổng TTĐT Chính phủ;</w:t>
            </w:r>
            <w:r w:rsidR="00A167B9" w:rsidRPr="00A167B9">
              <w:rPr>
                <w:sz w:val="22"/>
                <w:szCs w:val="22"/>
                <w:lang w:val="vi-VN"/>
              </w:rPr>
              <w:br/>
              <w:t>- Bộ LĐTBXH: Bộ trưởng, các Thứ trưởng và các đơn vị có liên quan;</w:t>
            </w:r>
            <w:r w:rsidR="00A167B9" w:rsidRPr="00A167B9">
              <w:rPr>
                <w:sz w:val="22"/>
                <w:szCs w:val="22"/>
                <w:lang w:val="vi-VN"/>
              </w:rPr>
              <w:br/>
              <w:t>- Cổng TTĐT Bộ LĐTBXH;</w:t>
            </w:r>
            <w:r w:rsidR="00A167B9" w:rsidRPr="00A167B9">
              <w:rPr>
                <w:sz w:val="22"/>
                <w:szCs w:val="22"/>
                <w:lang w:val="vi-VN"/>
              </w:rPr>
              <w:br/>
            </w:r>
            <w:r w:rsidRPr="000E4D0C">
              <w:rPr>
                <w:sz w:val="22"/>
                <w:szCs w:val="22"/>
              </w:rPr>
              <w:t xml:space="preserve">- Lưu: VT, </w:t>
            </w:r>
            <w:r w:rsidR="00A167B9">
              <w:rPr>
                <w:sz w:val="22"/>
                <w:szCs w:val="22"/>
              </w:rPr>
              <w:t xml:space="preserve">Vụ </w:t>
            </w:r>
            <w:r w:rsidRPr="000E4D0C">
              <w:rPr>
                <w:sz w:val="22"/>
                <w:szCs w:val="22"/>
              </w:rPr>
              <w:t>PC.</w:t>
            </w:r>
          </w:p>
        </w:tc>
        <w:tc>
          <w:tcPr>
            <w:tcW w:w="3828" w:type="dxa"/>
            <w:tcMar>
              <w:top w:w="0" w:type="dxa"/>
              <w:left w:w="108" w:type="dxa"/>
              <w:bottom w:w="0" w:type="dxa"/>
              <w:right w:w="108" w:type="dxa"/>
            </w:tcMar>
            <w:hideMark/>
          </w:tcPr>
          <w:p w:rsidR="00E66943" w:rsidRDefault="00E66943" w:rsidP="00787FFD">
            <w:pPr>
              <w:pStyle w:val="NormalWeb"/>
              <w:spacing w:before="0" w:beforeAutospacing="0" w:after="0" w:afterAutospacing="0"/>
              <w:jc w:val="center"/>
              <w:rPr>
                <w:b/>
                <w:bCs/>
                <w:sz w:val="28"/>
                <w:szCs w:val="20"/>
              </w:rPr>
            </w:pPr>
            <w:r w:rsidRPr="005C0C0F">
              <w:rPr>
                <w:b/>
                <w:bCs/>
                <w:sz w:val="28"/>
                <w:szCs w:val="20"/>
              </w:rPr>
              <w:t>BỘ TRƯỞNG</w:t>
            </w:r>
          </w:p>
          <w:p w:rsidR="003726AC" w:rsidRDefault="003726AC" w:rsidP="00787FFD">
            <w:pPr>
              <w:pStyle w:val="NormalWeb"/>
              <w:spacing w:before="0" w:beforeAutospacing="0" w:after="0" w:afterAutospacing="0"/>
              <w:jc w:val="center"/>
              <w:rPr>
                <w:b/>
                <w:bCs/>
                <w:sz w:val="28"/>
                <w:szCs w:val="20"/>
              </w:rPr>
            </w:pPr>
          </w:p>
          <w:p w:rsidR="00E66943" w:rsidRDefault="00E66943" w:rsidP="00787FFD">
            <w:pPr>
              <w:pStyle w:val="NormalWeb"/>
              <w:spacing w:before="0" w:beforeAutospacing="0" w:after="0" w:afterAutospacing="0"/>
              <w:jc w:val="center"/>
              <w:rPr>
                <w:b/>
                <w:bCs/>
                <w:sz w:val="28"/>
                <w:szCs w:val="20"/>
              </w:rPr>
            </w:pPr>
            <w:r w:rsidRPr="005C0C0F">
              <w:rPr>
                <w:b/>
                <w:bCs/>
                <w:sz w:val="28"/>
                <w:szCs w:val="20"/>
              </w:rPr>
              <w:br/>
            </w:r>
            <w:r w:rsidRPr="005C0C0F">
              <w:rPr>
                <w:b/>
                <w:bCs/>
                <w:sz w:val="28"/>
                <w:szCs w:val="20"/>
              </w:rPr>
              <w:br/>
            </w:r>
          </w:p>
          <w:p w:rsidR="009B0BE3" w:rsidRDefault="009B0BE3" w:rsidP="00787FFD">
            <w:pPr>
              <w:pStyle w:val="NormalWeb"/>
              <w:spacing w:before="0" w:beforeAutospacing="0" w:after="0" w:afterAutospacing="0"/>
              <w:jc w:val="center"/>
              <w:rPr>
                <w:b/>
                <w:bCs/>
                <w:sz w:val="28"/>
                <w:szCs w:val="20"/>
              </w:rPr>
            </w:pPr>
          </w:p>
          <w:p w:rsidR="00E66943" w:rsidRPr="005924FC" w:rsidRDefault="00E66943" w:rsidP="00195B49">
            <w:pPr>
              <w:pStyle w:val="NormalWeb"/>
              <w:spacing w:before="0" w:beforeAutospacing="0" w:after="0" w:afterAutospacing="0"/>
              <w:jc w:val="center"/>
              <w:rPr>
                <w:szCs w:val="20"/>
              </w:rPr>
            </w:pPr>
            <w:r w:rsidRPr="005C0C0F">
              <w:rPr>
                <w:b/>
                <w:bCs/>
                <w:sz w:val="28"/>
                <w:szCs w:val="20"/>
              </w:rPr>
              <w:br/>
            </w:r>
            <w:r w:rsidRPr="005C0C0F">
              <w:rPr>
                <w:b/>
                <w:bCs/>
                <w:sz w:val="28"/>
                <w:szCs w:val="20"/>
              </w:rPr>
              <w:br/>
            </w:r>
            <w:r w:rsidR="00195B49">
              <w:rPr>
                <w:b/>
                <w:bCs/>
                <w:sz w:val="28"/>
                <w:szCs w:val="20"/>
              </w:rPr>
              <w:t>Đào Ngọc Dung</w:t>
            </w:r>
          </w:p>
        </w:tc>
      </w:tr>
    </w:tbl>
    <w:p w:rsidR="00431426" w:rsidRDefault="00431426" w:rsidP="004C4361">
      <w:pPr>
        <w:pStyle w:val="NormalWeb"/>
        <w:spacing w:before="120" w:beforeAutospacing="0" w:after="120" w:afterAutospacing="0"/>
        <w:rPr>
          <w:b/>
          <w:bCs/>
          <w:szCs w:val="20"/>
        </w:rPr>
      </w:pPr>
    </w:p>
    <w:sectPr w:rsidR="00431426" w:rsidSect="008E2164">
      <w:pgSz w:w="11907" w:h="16840" w:code="9"/>
      <w:pgMar w:top="1418" w:right="1134" w:bottom="1418" w:left="1701" w:header="720" w:footer="21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789" w:rsidRDefault="007E7789">
      <w:r>
        <w:separator/>
      </w:r>
    </w:p>
  </w:endnote>
  <w:endnote w:type="continuationSeparator" w:id="0">
    <w:p w:rsidR="007E7789" w:rsidRDefault="007E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789" w:rsidRDefault="007E7789">
      <w:r>
        <w:separator/>
      </w:r>
    </w:p>
  </w:footnote>
  <w:footnote w:type="continuationSeparator" w:id="0">
    <w:p w:rsidR="007E7789" w:rsidRDefault="007E77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4053"/>
    <w:multiLevelType w:val="hybridMultilevel"/>
    <w:tmpl w:val="54546CC2"/>
    <w:lvl w:ilvl="0" w:tplc="1750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3A7B93"/>
    <w:multiLevelType w:val="hybridMultilevel"/>
    <w:tmpl w:val="1A20A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25B07"/>
    <w:multiLevelType w:val="hybridMultilevel"/>
    <w:tmpl w:val="18DE4E94"/>
    <w:lvl w:ilvl="0" w:tplc="CA7C6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EC3044"/>
    <w:multiLevelType w:val="hybridMultilevel"/>
    <w:tmpl w:val="3A065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309C"/>
    <w:rsid w:val="00010562"/>
    <w:rsid w:val="00022FB6"/>
    <w:rsid w:val="00024A86"/>
    <w:rsid w:val="00036279"/>
    <w:rsid w:val="00037C66"/>
    <w:rsid w:val="00050D0F"/>
    <w:rsid w:val="000514B5"/>
    <w:rsid w:val="00052835"/>
    <w:rsid w:val="00054C6D"/>
    <w:rsid w:val="000562CF"/>
    <w:rsid w:val="000576DA"/>
    <w:rsid w:val="00061A0A"/>
    <w:rsid w:val="00062493"/>
    <w:rsid w:val="00066336"/>
    <w:rsid w:val="00076C05"/>
    <w:rsid w:val="00077162"/>
    <w:rsid w:val="000837D8"/>
    <w:rsid w:val="00087039"/>
    <w:rsid w:val="00087433"/>
    <w:rsid w:val="0009245D"/>
    <w:rsid w:val="00092D2C"/>
    <w:rsid w:val="000A4DF0"/>
    <w:rsid w:val="000B70C3"/>
    <w:rsid w:val="000C533F"/>
    <w:rsid w:val="000C7863"/>
    <w:rsid w:val="000D0A29"/>
    <w:rsid w:val="000D2E8A"/>
    <w:rsid w:val="000D2FE9"/>
    <w:rsid w:val="000E0190"/>
    <w:rsid w:val="000E056F"/>
    <w:rsid w:val="000E4D0C"/>
    <w:rsid w:val="000E6B0E"/>
    <w:rsid w:val="00106246"/>
    <w:rsid w:val="00106DC7"/>
    <w:rsid w:val="00111830"/>
    <w:rsid w:val="00112463"/>
    <w:rsid w:val="0011442C"/>
    <w:rsid w:val="00116018"/>
    <w:rsid w:val="0011724B"/>
    <w:rsid w:val="001211A4"/>
    <w:rsid w:val="0012616A"/>
    <w:rsid w:val="0013513A"/>
    <w:rsid w:val="0013544C"/>
    <w:rsid w:val="0014093C"/>
    <w:rsid w:val="001460A8"/>
    <w:rsid w:val="00150509"/>
    <w:rsid w:val="0015104B"/>
    <w:rsid w:val="001525C0"/>
    <w:rsid w:val="00152638"/>
    <w:rsid w:val="001544BB"/>
    <w:rsid w:val="00164BC8"/>
    <w:rsid w:val="00170E5E"/>
    <w:rsid w:val="001737E6"/>
    <w:rsid w:val="00184A73"/>
    <w:rsid w:val="001853CD"/>
    <w:rsid w:val="0019086C"/>
    <w:rsid w:val="00195B49"/>
    <w:rsid w:val="001A163F"/>
    <w:rsid w:val="001B510E"/>
    <w:rsid w:val="001B65B5"/>
    <w:rsid w:val="001C5873"/>
    <w:rsid w:val="001D41F4"/>
    <w:rsid w:val="001D7637"/>
    <w:rsid w:val="001E04B6"/>
    <w:rsid w:val="001F0CF5"/>
    <w:rsid w:val="002107BD"/>
    <w:rsid w:val="00212174"/>
    <w:rsid w:val="002168B4"/>
    <w:rsid w:val="00225864"/>
    <w:rsid w:val="002309D2"/>
    <w:rsid w:val="00236907"/>
    <w:rsid w:val="00252C83"/>
    <w:rsid w:val="00255FD2"/>
    <w:rsid w:val="00266240"/>
    <w:rsid w:val="00291234"/>
    <w:rsid w:val="00294065"/>
    <w:rsid w:val="002A3D10"/>
    <w:rsid w:val="002C759B"/>
    <w:rsid w:val="002D005B"/>
    <w:rsid w:val="002E056B"/>
    <w:rsid w:val="002E0E9B"/>
    <w:rsid w:val="002F46BD"/>
    <w:rsid w:val="00312F8B"/>
    <w:rsid w:val="00312FDE"/>
    <w:rsid w:val="0031309C"/>
    <w:rsid w:val="00314297"/>
    <w:rsid w:val="003253E8"/>
    <w:rsid w:val="003338AA"/>
    <w:rsid w:val="00351CA1"/>
    <w:rsid w:val="003538B4"/>
    <w:rsid w:val="003633BD"/>
    <w:rsid w:val="00364E20"/>
    <w:rsid w:val="00366A52"/>
    <w:rsid w:val="003726AC"/>
    <w:rsid w:val="0037299D"/>
    <w:rsid w:val="003806F0"/>
    <w:rsid w:val="0038179F"/>
    <w:rsid w:val="00391330"/>
    <w:rsid w:val="0039176C"/>
    <w:rsid w:val="00391E0F"/>
    <w:rsid w:val="003929A7"/>
    <w:rsid w:val="003A4298"/>
    <w:rsid w:val="003A66C7"/>
    <w:rsid w:val="003A6991"/>
    <w:rsid w:val="003B145F"/>
    <w:rsid w:val="003C07A8"/>
    <w:rsid w:val="003C746F"/>
    <w:rsid w:val="003C7CA4"/>
    <w:rsid w:val="003D14A5"/>
    <w:rsid w:val="003D1BA0"/>
    <w:rsid w:val="003D37DF"/>
    <w:rsid w:val="003E1FF7"/>
    <w:rsid w:val="003E3A19"/>
    <w:rsid w:val="003E4926"/>
    <w:rsid w:val="003E741C"/>
    <w:rsid w:val="003F0558"/>
    <w:rsid w:val="00401746"/>
    <w:rsid w:val="00403C08"/>
    <w:rsid w:val="00403E3F"/>
    <w:rsid w:val="004136BC"/>
    <w:rsid w:val="004138D5"/>
    <w:rsid w:val="00422965"/>
    <w:rsid w:val="00423941"/>
    <w:rsid w:val="00425096"/>
    <w:rsid w:val="00431426"/>
    <w:rsid w:val="00434148"/>
    <w:rsid w:val="00435C20"/>
    <w:rsid w:val="0044551E"/>
    <w:rsid w:val="0045205B"/>
    <w:rsid w:val="004525DB"/>
    <w:rsid w:val="00452A94"/>
    <w:rsid w:val="00453DCC"/>
    <w:rsid w:val="004546B1"/>
    <w:rsid w:val="00454FDF"/>
    <w:rsid w:val="00456A7C"/>
    <w:rsid w:val="00462C79"/>
    <w:rsid w:val="00462D50"/>
    <w:rsid w:val="00462F71"/>
    <w:rsid w:val="0047095B"/>
    <w:rsid w:val="00471B69"/>
    <w:rsid w:val="00472398"/>
    <w:rsid w:val="00474E36"/>
    <w:rsid w:val="00480DF0"/>
    <w:rsid w:val="004824EC"/>
    <w:rsid w:val="004859E5"/>
    <w:rsid w:val="00491290"/>
    <w:rsid w:val="004A00D8"/>
    <w:rsid w:val="004A2748"/>
    <w:rsid w:val="004A66EA"/>
    <w:rsid w:val="004B15F3"/>
    <w:rsid w:val="004B54CF"/>
    <w:rsid w:val="004C037A"/>
    <w:rsid w:val="004C0691"/>
    <w:rsid w:val="004C4361"/>
    <w:rsid w:val="004C43C9"/>
    <w:rsid w:val="004D0D39"/>
    <w:rsid w:val="004D50B1"/>
    <w:rsid w:val="004D5665"/>
    <w:rsid w:val="004D5B93"/>
    <w:rsid w:val="004E14A5"/>
    <w:rsid w:val="004E78DA"/>
    <w:rsid w:val="004E7F30"/>
    <w:rsid w:val="004F0330"/>
    <w:rsid w:val="004F1DFF"/>
    <w:rsid w:val="004F22D6"/>
    <w:rsid w:val="004F49DA"/>
    <w:rsid w:val="00513C54"/>
    <w:rsid w:val="00516093"/>
    <w:rsid w:val="00525E03"/>
    <w:rsid w:val="0053292E"/>
    <w:rsid w:val="0053768C"/>
    <w:rsid w:val="00537A3C"/>
    <w:rsid w:val="005401BA"/>
    <w:rsid w:val="005417B4"/>
    <w:rsid w:val="0054445B"/>
    <w:rsid w:val="0054747F"/>
    <w:rsid w:val="00555B33"/>
    <w:rsid w:val="00557F10"/>
    <w:rsid w:val="005638E6"/>
    <w:rsid w:val="00565E11"/>
    <w:rsid w:val="005669AC"/>
    <w:rsid w:val="00567314"/>
    <w:rsid w:val="00571491"/>
    <w:rsid w:val="00576893"/>
    <w:rsid w:val="00580F1C"/>
    <w:rsid w:val="00581C1D"/>
    <w:rsid w:val="00582F7A"/>
    <w:rsid w:val="0058598D"/>
    <w:rsid w:val="00590389"/>
    <w:rsid w:val="005906CB"/>
    <w:rsid w:val="00591256"/>
    <w:rsid w:val="005924FC"/>
    <w:rsid w:val="005945DA"/>
    <w:rsid w:val="005A7D11"/>
    <w:rsid w:val="005C0C0F"/>
    <w:rsid w:val="005D1CAC"/>
    <w:rsid w:val="005D52F8"/>
    <w:rsid w:val="005E1CF2"/>
    <w:rsid w:val="005E3E48"/>
    <w:rsid w:val="005E5A33"/>
    <w:rsid w:val="005E5EA0"/>
    <w:rsid w:val="005F09D2"/>
    <w:rsid w:val="005F42A8"/>
    <w:rsid w:val="005F4885"/>
    <w:rsid w:val="00605306"/>
    <w:rsid w:val="00605913"/>
    <w:rsid w:val="00605EF7"/>
    <w:rsid w:val="0060608A"/>
    <w:rsid w:val="006075E5"/>
    <w:rsid w:val="00611810"/>
    <w:rsid w:val="00616712"/>
    <w:rsid w:val="00616F6A"/>
    <w:rsid w:val="00621916"/>
    <w:rsid w:val="00627429"/>
    <w:rsid w:val="006309A1"/>
    <w:rsid w:val="00631356"/>
    <w:rsid w:val="00634EA8"/>
    <w:rsid w:val="00637B6F"/>
    <w:rsid w:val="006407CF"/>
    <w:rsid w:val="00645849"/>
    <w:rsid w:val="006511F8"/>
    <w:rsid w:val="00657217"/>
    <w:rsid w:val="006574E2"/>
    <w:rsid w:val="006625B5"/>
    <w:rsid w:val="00666352"/>
    <w:rsid w:val="00667213"/>
    <w:rsid w:val="006828F5"/>
    <w:rsid w:val="006837E0"/>
    <w:rsid w:val="00684187"/>
    <w:rsid w:val="00694870"/>
    <w:rsid w:val="00697D32"/>
    <w:rsid w:val="006A1939"/>
    <w:rsid w:val="006A4F42"/>
    <w:rsid w:val="006B0033"/>
    <w:rsid w:val="006B5B47"/>
    <w:rsid w:val="006B72BF"/>
    <w:rsid w:val="006C5CF1"/>
    <w:rsid w:val="006D629F"/>
    <w:rsid w:val="006F6DA8"/>
    <w:rsid w:val="00701746"/>
    <w:rsid w:val="00706C6B"/>
    <w:rsid w:val="00707987"/>
    <w:rsid w:val="007111DC"/>
    <w:rsid w:val="007155A2"/>
    <w:rsid w:val="0072251E"/>
    <w:rsid w:val="00724349"/>
    <w:rsid w:val="0072546C"/>
    <w:rsid w:val="00725FE2"/>
    <w:rsid w:val="00727E20"/>
    <w:rsid w:val="0074034B"/>
    <w:rsid w:val="00740A8E"/>
    <w:rsid w:val="00745CA2"/>
    <w:rsid w:val="00750086"/>
    <w:rsid w:val="00754BEF"/>
    <w:rsid w:val="00757048"/>
    <w:rsid w:val="00760BD5"/>
    <w:rsid w:val="00763EDC"/>
    <w:rsid w:val="00764FBE"/>
    <w:rsid w:val="007776D8"/>
    <w:rsid w:val="00783AE1"/>
    <w:rsid w:val="00784A65"/>
    <w:rsid w:val="0078626F"/>
    <w:rsid w:val="00794378"/>
    <w:rsid w:val="007A08E2"/>
    <w:rsid w:val="007A43B4"/>
    <w:rsid w:val="007A4728"/>
    <w:rsid w:val="007A75B3"/>
    <w:rsid w:val="007C04F4"/>
    <w:rsid w:val="007D34D2"/>
    <w:rsid w:val="007D691D"/>
    <w:rsid w:val="007E7789"/>
    <w:rsid w:val="007F33A9"/>
    <w:rsid w:val="00800CD8"/>
    <w:rsid w:val="008024AB"/>
    <w:rsid w:val="008065E0"/>
    <w:rsid w:val="008071F7"/>
    <w:rsid w:val="00820E8C"/>
    <w:rsid w:val="00823948"/>
    <w:rsid w:val="008255D0"/>
    <w:rsid w:val="00826586"/>
    <w:rsid w:val="00832CA2"/>
    <w:rsid w:val="00835553"/>
    <w:rsid w:val="0083741C"/>
    <w:rsid w:val="008376E5"/>
    <w:rsid w:val="008377C0"/>
    <w:rsid w:val="00840321"/>
    <w:rsid w:val="008408BB"/>
    <w:rsid w:val="008523E6"/>
    <w:rsid w:val="00855BCD"/>
    <w:rsid w:val="008610A8"/>
    <w:rsid w:val="00861698"/>
    <w:rsid w:val="008619B8"/>
    <w:rsid w:val="008662C4"/>
    <w:rsid w:val="00872673"/>
    <w:rsid w:val="00873268"/>
    <w:rsid w:val="0087639A"/>
    <w:rsid w:val="0088469E"/>
    <w:rsid w:val="008849B9"/>
    <w:rsid w:val="00890273"/>
    <w:rsid w:val="00890F08"/>
    <w:rsid w:val="008967F0"/>
    <w:rsid w:val="00897B19"/>
    <w:rsid w:val="008A2EEF"/>
    <w:rsid w:val="008A639A"/>
    <w:rsid w:val="008B0484"/>
    <w:rsid w:val="008B0E8D"/>
    <w:rsid w:val="008B34E1"/>
    <w:rsid w:val="008B662A"/>
    <w:rsid w:val="008B7833"/>
    <w:rsid w:val="008C34C9"/>
    <w:rsid w:val="008C5326"/>
    <w:rsid w:val="008D0951"/>
    <w:rsid w:val="008D0F45"/>
    <w:rsid w:val="008D2925"/>
    <w:rsid w:val="008E02A4"/>
    <w:rsid w:val="008E2164"/>
    <w:rsid w:val="008E74E1"/>
    <w:rsid w:val="008F23BA"/>
    <w:rsid w:val="008F4E9B"/>
    <w:rsid w:val="008F7F9C"/>
    <w:rsid w:val="00901748"/>
    <w:rsid w:val="00902A86"/>
    <w:rsid w:val="0091028B"/>
    <w:rsid w:val="00911AD6"/>
    <w:rsid w:val="00917F1B"/>
    <w:rsid w:val="009304DB"/>
    <w:rsid w:val="00930ABD"/>
    <w:rsid w:val="00932A35"/>
    <w:rsid w:val="00936A98"/>
    <w:rsid w:val="00943615"/>
    <w:rsid w:val="009474B2"/>
    <w:rsid w:val="009508F5"/>
    <w:rsid w:val="00955DD2"/>
    <w:rsid w:val="0095659C"/>
    <w:rsid w:val="00957476"/>
    <w:rsid w:val="0096067E"/>
    <w:rsid w:val="0096310F"/>
    <w:rsid w:val="00966D6B"/>
    <w:rsid w:val="00973576"/>
    <w:rsid w:val="00980D5E"/>
    <w:rsid w:val="009850FC"/>
    <w:rsid w:val="009855EA"/>
    <w:rsid w:val="009913C7"/>
    <w:rsid w:val="00992313"/>
    <w:rsid w:val="0099426C"/>
    <w:rsid w:val="00996F9A"/>
    <w:rsid w:val="009A0F85"/>
    <w:rsid w:val="009A3C5A"/>
    <w:rsid w:val="009A67B5"/>
    <w:rsid w:val="009B0BE3"/>
    <w:rsid w:val="009B0FB3"/>
    <w:rsid w:val="009B12C5"/>
    <w:rsid w:val="009B34D1"/>
    <w:rsid w:val="009B519C"/>
    <w:rsid w:val="009B638E"/>
    <w:rsid w:val="009B6637"/>
    <w:rsid w:val="009C1129"/>
    <w:rsid w:val="009D2F55"/>
    <w:rsid w:val="009E186B"/>
    <w:rsid w:val="009E27E4"/>
    <w:rsid w:val="009E34FC"/>
    <w:rsid w:val="009F0AF8"/>
    <w:rsid w:val="009F323A"/>
    <w:rsid w:val="009F5280"/>
    <w:rsid w:val="00A01555"/>
    <w:rsid w:val="00A0366F"/>
    <w:rsid w:val="00A03F6F"/>
    <w:rsid w:val="00A04A91"/>
    <w:rsid w:val="00A04CAA"/>
    <w:rsid w:val="00A071A1"/>
    <w:rsid w:val="00A07793"/>
    <w:rsid w:val="00A10E23"/>
    <w:rsid w:val="00A167B9"/>
    <w:rsid w:val="00A168F5"/>
    <w:rsid w:val="00A20526"/>
    <w:rsid w:val="00A218C5"/>
    <w:rsid w:val="00A2302C"/>
    <w:rsid w:val="00A24CE7"/>
    <w:rsid w:val="00A35FCF"/>
    <w:rsid w:val="00A36AAB"/>
    <w:rsid w:val="00A43B91"/>
    <w:rsid w:val="00A4553A"/>
    <w:rsid w:val="00A50538"/>
    <w:rsid w:val="00A52294"/>
    <w:rsid w:val="00A61E3A"/>
    <w:rsid w:val="00A62031"/>
    <w:rsid w:val="00A6229D"/>
    <w:rsid w:val="00A64B78"/>
    <w:rsid w:val="00A7522A"/>
    <w:rsid w:val="00A87BFF"/>
    <w:rsid w:val="00A915FD"/>
    <w:rsid w:val="00A91D9F"/>
    <w:rsid w:val="00A9235D"/>
    <w:rsid w:val="00A93693"/>
    <w:rsid w:val="00A95064"/>
    <w:rsid w:val="00A95431"/>
    <w:rsid w:val="00A96026"/>
    <w:rsid w:val="00AA246E"/>
    <w:rsid w:val="00AA58F3"/>
    <w:rsid w:val="00AA6254"/>
    <w:rsid w:val="00AA74A3"/>
    <w:rsid w:val="00AA7E6C"/>
    <w:rsid w:val="00AC2C88"/>
    <w:rsid w:val="00AC5662"/>
    <w:rsid w:val="00AC5E84"/>
    <w:rsid w:val="00AC6A2E"/>
    <w:rsid w:val="00AD366F"/>
    <w:rsid w:val="00AE0D83"/>
    <w:rsid w:val="00AE4F64"/>
    <w:rsid w:val="00AE5897"/>
    <w:rsid w:val="00AE5AE6"/>
    <w:rsid w:val="00AE753A"/>
    <w:rsid w:val="00AE7BB1"/>
    <w:rsid w:val="00AF0706"/>
    <w:rsid w:val="00B22ADD"/>
    <w:rsid w:val="00B3003F"/>
    <w:rsid w:val="00B33340"/>
    <w:rsid w:val="00B40C07"/>
    <w:rsid w:val="00B42236"/>
    <w:rsid w:val="00B51BCF"/>
    <w:rsid w:val="00B54F10"/>
    <w:rsid w:val="00B725A4"/>
    <w:rsid w:val="00B8137A"/>
    <w:rsid w:val="00B8166F"/>
    <w:rsid w:val="00B81E18"/>
    <w:rsid w:val="00B83633"/>
    <w:rsid w:val="00B84624"/>
    <w:rsid w:val="00B94F8B"/>
    <w:rsid w:val="00B960A7"/>
    <w:rsid w:val="00BA0438"/>
    <w:rsid w:val="00BA078E"/>
    <w:rsid w:val="00BA26CF"/>
    <w:rsid w:val="00BA6A96"/>
    <w:rsid w:val="00BB6B24"/>
    <w:rsid w:val="00BC36B5"/>
    <w:rsid w:val="00BC49EC"/>
    <w:rsid w:val="00BC5B9F"/>
    <w:rsid w:val="00BC6FF7"/>
    <w:rsid w:val="00BD3D85"/>
    <w:rsid w:val="00BE0C92"/>
    <w:rsid w:val="00BE4492"/>
    <w:rsid w:val="00BF427D"/>
    <w:rsid w:val="00BF6B50"/>
    <w:rsid w:val="00BF6EF4"/>
    <w:rsid w:val="00C00B33"/>
    <w:rsid w:val="00C054BA"/>
    <w:rsid w:val="00C1292D"/>
    <w:rsid w:val="00C15550"/>
    <w:rsid w:val="00C200AD"/>
    <w:rsid w:val="00C20C5A"/>
    <w:rsid w:val="00C214B5"/>
    <w:rsid w:val="00C22B08"/>
    <w:rsid w:val="00C26948"/>
    <w:rsid w:val="00C27ACD"/>
    <w:rsid w:val="00C32FCC"/>
    <w:rsid w:val="00C33869"/>
    <w:rsid w:val="00C459A8"/>
    <w:rsid w:val="00C46F2A"/>
    <w:rsid w:val="00C51449"/>
    <w:rsid w:val="00C5602F"/>
    <w:rsid w:val="00C56C32"/>
    <w:rsid w:val="00C72D55"/>
    <w:rsid w:val="00C730FD"/>
    <w:rsid w:val="00C74407"/>
    <w:rsid w:val="00C74E0E"/>
    <w:rsid w:val="00C76832"/>
    <w:rsid w:val="00C82D18"/>
    <w:rsid w:val="00C8304A"/>
    <w:rsid w:val="00C86D5D"/>
    <w:rsid w:val="00C87F41"/>
    <w:rsid w:val="00CA492B"/>
    <w:rsid w:val="00CA5C3A"/>
    <w:rsid w:val="00CA7DDE"/>
    <w:rsid w:val="00CB1DF2"/>
    <w:rsid w:val="00CB2D39"/>
    <w:rsid w:val="00CB5C72"/>
    <w:rsid w:val="00CB70B0"/>
    <w:rsid w:val="00CB79E9"/>
    <w:rsid w:val="00CC5DB4"/>
    <w:rsid w:val="00CC7EFA"/>
    <w:rsid w:val="00CD0260"/>
    <w:rsid w:val="00CD3387"/>
    <w:rsid w:val="00CD594D"/>
    <w:rsid w:val="00CE0589"/>
    <w:rsid w:val="00CE3A1C"/>
    <w:rsid w:val="00CE42D8"/>
    <w:rsid w:val="00CE45C4"/>
    <w:rsid w:val="00D01B23"/>
    <w:rsid w:val="00D05689"/>
    <w:rsid w:val="00D0655E"/>
    <w:rsid w:val="00D10137"/>
    <w:rsid w:val="00D11236"/>
    <w:rsid w:val="00D14168"/>
    <w:rsid w:val="00D20C84"/>
    <w:rsid w:val="00D27065"/>
    <w:rsid w:val="00D463E3"/>
    <w:rsid w:val="00D469F9"/>
    <w:rsid w:val="00D57A0F"/>
    <w:rsid w:val="00D60B0D"/>
    <w:rsid w:val="00D63A04"/>
    <w:rsid w:val="00D67AAC"/>
    <w:rsid w:val="00D705D2"/>
    <w:rsid w:val="00D71A6F"/>
    <w:rsid w:val="00D71E87"/>
    <w:rsid w:val="00D748C5"/>
    <w:rsid w:val="00D7631A"/>
    <w:rsid w:val="00D87C08"/>
    <w:rsid w:val="00D9106C"/>
    <w:rsid w:val="00DA643E"/>
    <w:rsid w:val="00DA7D16"/>
    <w:rsid w:val="00DB0D72"/>
    <w:rsid w:val="00DB315C"/>
    <w:rsid w:val="00DB4526"/>
    <w:rsid w:val="00DB5462"/>
    <w:rsid w:val="00DC1E1A"/>
    <w:rsid w:val="00DC53C7"/>
    <w:rsid w:val="00DD159E"/>
    <w:rsid w:val="00DD2136"/>
    <w:rsid w:val="00DE4615"/>
    <w:rsid w:val="00DF34FB"/>
    <w:rsid w:val="00DF3CC3"/>
    <w:rsid w:val="00DF4508"/>
    <w:rsid w:val="00DF4652"/>
    <w:rsid w:val="00DF4EE7"/>
    <w:rsid w:val="00DF6057"/>
    <w:rsid w:val="00DF7BEE"/>
    <w:rsid w:val="00E0088F"/>
    <w:rsid w:val="00E10AAE"/>
    <w:rsid w:val="00E13EC6"/>
    <w:rsid w:val="00E15357"/>
    <w:rsid w:val="00E219F8"/>
    <w:rsid w:val="00E33078"/>
    <w:rsid w:val="00E34B3B"/>
    <w:rsid w:val="00E3591F"/>
    <w:rsid w:val="00E410C4"/>
    <w:rsid w:val="00E42457"/>
    <w:rsid w:val="00E43F34"/>
    <w:rsid w:val="00E4767E"/>
    <w:rsid w:val="00E51108"/>
    <w:rsid w:val="00E631A5"/>
    <w:rsid w:val="00E66943"/>
    <w:rsid w:val="00E70759"/>
    <w:rsid w:val="00E7272F"/>
    <w:rsid w:val="00E77556"/>
    <w:rsid w:val="00E859EE"/>
    <w:rsid w:val="00EA0280"/>
    <w:rsid w:val="00EB3332"/>
    <w:rsid w:val="00EB783F"/>
    <w:rsid w:val="00EC0FED"/>
    <w:rsid w:val="00EC5743"/>
    <w:rsid w:val="00ED4686"/>
    <w:rsid w:val="00ED5BFC"/>
    <w:rsid w:val="00ED70A1"/>
    <w:rsid w:val="00EE4535"/>
    <w:rsid w:val="00EE46E5"/>
    <w:rsid w:val="00EE5399"/>
    <w:rsid w:val="00EE7AB8"/>
    <w:rsid w:val="00EE7D40"/>
    <w:rsid w:val="00EF490C"/>
    <w:rsid w:val="00EF4ED3"/>
    <w:rsid w:val="00EF57BC"/>
    <w:rsid w:val="00EF7DB1"/>
    <w:rsid w:val="00F0126B"/>
    <w:rsid w:val="00F052F8"/>
    <w:rsid w:val="00F11F01"/>
    <w:rsid w:val="00F13C68"/>
    <w:rsid w:val="00F144CD"/>
    <w:rsid w:val="00F303CD"/>
    <w:rsid w:val="00F31855"/>
    <w:rsid w:val="00F32591"/>
    <w:rsid w:val="00F32948"/>
    <w:rsid w:val="00F33BE1"/>
    <w:rsid w:val="00F52328"/>
    <w:rsid w:val="00F52DAE"/>
    <w:rsid w:val="00F54928"/>
    <w:rsid w:val="00F56F27"/>
    <w:rsid w:val="00F6064B"/>
    <w:rsid w:val="00F649EA"/>
    <w:rsid w:val="00F65167"/>
    <w:rsid w:val="00F66DB2"/>
    <w:rsid w:val="00F679C9"/>
    <w:rsid w:val="00F71436"/>
    <w:rsid w:val="00F73A41"/>
    <w:rsid w:val="00F82760"/>
    <w:rsid w:val="00F83839"/>
    <w:rsid w:val="00F840D5"/>
    <w:rsid w:val="00F86CFF"/>
    <w:rsid w:val="00F941D5"/>
    <w:rsid w:val="00FA0F5A"/>
    <w:rsid w:val="00FA157E"/>
    <w:rsid w:val="00FA4DE5"/>
    <w:rsid w:val="00FB634B"/>
    <w:rsid w:val="00FB6538"/>
    <w:rsid w:val="00FB77BA"/>
    <w:rsid w:val="00FC031A"/>
    <w:rsid w:val="00FC2E4F"/>
    <w:rsid w:val="00FC4DDB"/>
    <w:rsid w:val="00FC5469"/>
    <w:rsid w:val="00FD7165"/>
    <w:rsid w:val="00FE77D9"/>
    <w:rsid w:val="00FF114E"/>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1" type="connector" idref="#_x0000_s1028"/>
        <o:r id="V:Rule2" type="connector" idref="#_x0000_s1030"/>
        <o:r id="V:Rule3" type="connector" idref="#_x0000_s1029"/>
      </o:rules>
    </o:shapelayout>
  </w:shapeDefaults>
  <w:decimalSymbol w:val="."/>
  <w:listSeparator w:val=","/>
  <w14:docId w14:val="7E0E6282"/>
  <w15:docId w15:val="{45FA01A8-2984-4DDA-BB97-C8EF7079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535"/>
    <w:rPr>
      <w:sz w:val="24"/>
      <w:szCs w:val="24"/>
    </w:rPr>
  </w:style>
  <w:style w:type="paragraph" w:styleId="Heading1">
    <w:name w:val="heading 1"/>
    <w:basedOn w:val="Normal"/>
    <w:next w:val="Normal"/>
    <w:link w:val="Heading1Char"/>
    <w:qFormat/>
    <w:rsid w:val="009B0FB3"/>
    <w:pPr>
      <w:keepNext/>
      <w:outlineLvl w:val="0"/>
    </w:pPr>
    <w:rPr>
      <w:rFonts w:ascii=".VnTime" w:hAnsi=".VnTime"/>
      <w:sz w:val="28"/>
      <w:szCs w:val="20"/>
    </w:rPr>
  </w:style>
  <w:style w:type="paragraph" w:styleId="Heading2">
    <w:name w:val="heading 2"/>
    <w:basedOn w:val="Normal"/>
    <w:next w:val="Normal"/>
    <w:link w:val="Heading2Char"/>
    <w:qFormat/>
    <w:rsid w:val="009B0FB3"/>
    <w:pPr>
      <w:keepNext/>
      <w:ind w:left="720"/>
      <w:jc w:val="center"/>
      <w:outlineLvl w:val="1"/>
    </w:pPr>
    <w:rPr>
      <w:rFonts w:ascii=".VnTimeH" w:hAnsi=".VnTimeH"/>
      <w:b/>
      <w:szCs w:val="20"/>
    </w:rPr>
  </w:style>
  <w:style w:type="paragraph" w:styleId="Heading3">
    <w:name w:val="heading 3"/>
    <w:basedOn w:val="Normal"/>
    <w:next w:val="Normal"/>
    <w:link w:val="Heading3Char"/>
    <w:qFormat/>
    <w:rsid w:val="009B0FB3"/>
    <w:pPr>
      <w:keepNext/>
      <w:ind w:left="720"/>
      <w:outlineLvl w:val="2"/>
    </w:pPr>
    <w:rPr>
      <w:rFonts w:ascii=".VnTimeH" w:hAnsi=".VnTimeH"/>
      <w:b/>
      <w:szCs w:val="20"/>
    </w:rPr>
  </w:style>
  <w:style w:type="paragraph" w:styleId="Heading8">
    <w:name w:val="heading 8"/>
    <w:basedOn w:val="Normal"/>
    <w:next w:val="Normal"/>
    <w:link w:val="Heading8Char"/>
    <w:qFormat/>
    <w:rsid w:val="00DF465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character" w:customStyle="1" w:styleId="Heading1Char">
    <w:name w:val="Heading 1 Char"/>
    <w:basedOn w:val="DefaultParagraphFont"/>
    <w:link w:val="Heading1"/>
    <w:rsid w:val="009B0FB3"/>
    <w:rPr>
      <w:rFonts w:ascii=".VnTime" w:hAnsi=".VnTime"/>
      <w:sz w:val="28"/>
    </w:rPr>
  </w:style>
  <w:style w:type="character" w:customStyle="1" w:styleId="Heading2Char">
    <w:name w:val="Heading 2 Char"/>
    <w:basedOn w:val="DefaultParagraphFont"/>
    <w:link w:val="Heading2"/>
    <w:rsid w:val="009B0FB3"/>
    <w:rPr>
      <w:rFonts w:ascii=".VnTimeH" w:hAnsi=".VnTimeH"/>
      <w:b/>
      <w:sz w:val="24"/>
    </w:rPr>
  </w:style>
  <w:style w:type="character" w:customStyle="1" w:styleId="Heading3Char">
    <w:name w:val="Heading 3 Char"/>
    <w:basedOn w:val="DefaultParagraphFont"/>
    <w:link w:val="Heading3"/>
    <w:rsid w:val="009B0FB3"/>
    <w:rPr>
      <w:rFonts w:ascii=".VnTimeH" w:hAnsi=".VnTimeH"/>
      <w:b/>
      <w:sz w:val="24"/>
    </w:rPr>
  </w:style>
  <w:style w:type="paragraph" w:styleId="BodyText">
    <w:name w:val="Body Text"/>
    <w:basedOn w:val="Normal"/>
    <w:link w:val="BodyTextChar"/>
    <w:rsid w:val="009B0FB3"/>
    <w:rPr>
      <w:rFonts w:ascii=".VnTimeH" w:hAnsi=".VnTimeH"/>
      <w:b/>
      <w:szCs w:val="20"/>
    </w:rPr>
  </w:style>
  <w:style w:type="character" w:customStyle="1" w:styleId="BodyTextChar">
    <w:name w:val="Body Text Char"/>
    <w:basedOn w:val="DefaultParagraphFont"/>
    <w:link w:val="BodyText"/>
    <w:rsid w:val="009B0FB3"/>
    <w:rPr>
      <w:rFonts w:ascii=".VnTimeH" w:hAnsi=".VnTimeH"/>
      <w:b/>
      <w:sz w:val="24"/>
    </w:rPr>
  </w:style>
  <w:style w:type="paragraph" w:styleId="BodyText2">
    <w:name w:val="Body Text 2"/>
    <w:basedOn w:val="Normal"/>
    <w:link w:val="BodyText2Char"/>
    <w:rsid w:val="009B0FB3"/>
    <w:pPr>
      <w:jc w:val="both"/>
    </w:pPr>
    <w:rPr>
      <w:rFonts w:ascii=".VnTime" w:hAnsi=".VnTime"/>
      <w:sz w:val="28"/>
      <w:szCs w:val="20"/>
    </w:rPr>
  </w:style>
  <w:style w:type="character" w:customStyle="1" w:styleId="BodyText2Char">
    <w:name w:val="Body Text 2 Char"/>
    <w:basedOn w:val="DefaultParagraphFont"/>
    <w:link w:val="BodyText2"/>
    <w:rsid w:val="009B0FB3"/>
    <w:rPr>
      <w:rFonts w:ascii=".VnTime" w:hAnsi=".VnTime"/>
      <w:sz w:val="28"/>
    </w:rPr>
  </w:style>
  <w:style w:type="paragraph" w:styleId="BodyTextIndent">
    <w:name w:val="Body Text Indent"/>
    <w:basedOn w:val="Normal"/>
    <w:link w:val="BodyTextIndentChar"/>
    <w:rsid w:val="009B0FB3"/>
    <w:pPr>
      <w:spacing w:after="120"/>
      <w:ind w:left="360"/>
    </w:pPr>
    <w:rPr>
      <w:rFonts w:ascii=".VnTime" w:hAnsi=".VnTime"/>
      <w:sz w:val="28"/>
      <w:szCs w:val="20"/>
    </w:rPr>
  </w:style>
  <w:style w:type="character" w:customStyle="1" w:styleId="BodyTextIndentChar">
    <w:name w:val="Body Text Indent Char"/>
    <w:basedOn w:val="DefaultParagraphFont"/>
    <w:link w:val="BodyTextIndent"/>
    <w:rsid w:val="009B0FB3"/>
    <w:rPr>
      <w:rFonts w:ascii=".VnTime" w:hAnsi=".VnTime"/>
      <w:sz w:val="28"/>
    </w:rPr>
  </w:style>
  <w:style w:type="character" w:customStyle="1" w:styleId="Heading8Char">
    <w:name w:val="Heading 8 Char"/>
    <w:basedOn w:val="DefaultParagraphFont"/>
    <w:link w:val="Heading8"/>
    <w:rsid w:val="00DF4652"/>
    <w:rPr>
      <w:i/>
      <w:iCs/>
      <w:sz w:val="24"/>
      <w:szCs w:val="24"/>
    </w:rPr>
  </w:style>
  <w:style w:type="paragraph" w:customStyle="1" w:styleId="Char">
    <w:name w:val="Char"/>
    <w:basedOn w:val="Normal"/>
    <w:autoRedefine/>
    <w:rsid w:val="00DF46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B42236"/>
    <w:rPr>
      <w:rFonts w:ascii="Tahoma" w:hAnsi="Tahoma" w:cs="Tahoma"/>
      <w:sz w:val="16"/>
      <w:szCs w:val="16"/>
    </w:rPr>
  </w:style>
  <w:style w:type="character" w:customStyle="1" w:styleId="BalloonTextChar">
    <w:name w:val="Balloon Text Char"/>
    <w:basedOn w:val="DefaultParagraphFont"/>
    <w:link w:val="BalloonText"/>
    <w:rsid w:val="00B42236"/>
    <w:rPr>
      <w:rFonts w:ascii="Tahoma" w:hAnsi="Tahoma" w:cs="Tahoma"/>
      <w:sz w:val="16"/>
      <w:szCs w:val="16"/>
    </w:rPr>
  </w:style>
  <w:style w:type="table" w:styleId="TableGrid">
    <w:name w:val="Table Grid"/>
    <w:basedOn w:val="TableNormal"/>
    <w:uiPriority w:val="39"/>
    <w:rsid w:val="0076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66DB2"/>
    <w:rPr>
      <w:sz w:val="24"/>
      <w:szCs w:val="24"/>
    </w:rPr>
  </w:style>
  <w:style w:type="character" w:customStyle="1" w:styleId="vldocrldnamec2">
    <w:name w:val="vl_doc_rl_dname_c2"/>
    <w:basedOn w:val="DefaultParagraphFont"/>
    <w:rsid w:val="00431426"/>
  </w:style>
  <w:style w:type="paragraph" w:customStyle="1" w:styleId="DefaultParagraphFontParaCharCharCharCharChar">
    <w:name w:val="Default Paragraph Font Para Char Char Char Char Char"/>
    <w:autoRedefine/>
    <w:rsid w:val="00917F1B"/>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38179F"/>
    <w:pPr>
      <w:ind w:left="720"/>
      <w:contextualSpacing/>
    </w:pPr>
  </w:style>
  <w:style w:type="character" w:styleId="Hyperlink">
    <w:name w:val="Hyperlink"/>
    <w:basedOn w:val="DefaultParagraphFont"/>
    <w:uiPriority w:val="99"/>
    <w:semiHidden/>
    <w:unhideWhenUsed/>
    <w:rsid w:val="0038179F"/>
    <w:rPr>
      <w:color w:val="0000FF"/>
      <w:u w:val="single"/>
    </w:rPr>
  </w:style>
  <w:style w:type="character" w:customStyle="1" w:styleId="apple-converted-space">
    <w:name w:val="apple-converted-space"/>
    <w:basedOn w:val="DefaultParagraphFont"/>
    <w:rsid w:val="00D01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169">
      <w:bodyDiv w:val="1"/>
      <w:marLeft w:val="0"/>
      <w:marRight w:val="0"/>
      <w:marTop w:val="0"/>
      <w:marBottom w:val="0"/>
      <w:divBdr>
        <w:top w:val="none" w:sz="0" w:space="0" w:color="auto"/>
        <w:left w:val="none" w:sz="0" w:space="0" w:color="auto"/>
        <w:bottom w:val="none" w:sz="0" w:space="0" w:color="auto"/>
        <w:right w:val="none" w:sz="0" w:space="0" w:color="auto"/>
      </w:divBdr>
    </w:div>
    <w:div w:id="7044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FB91532-C06B-432F-BA7A-951E0415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5</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dqhoa</dc:creator>
  <cp:keywords/>
  <cp:lastModifiedBy>Admin</cp:lastModifiedBy>
  <cp:revision>65</cp:revision>
  <cp:lastPrinted>2020-07-27T07:13:00Z</cp:lastPrinted>
  <dcterms:created xsi:type="dcterms:W3CDTF">2015-09-21T03:01:00Z</dcterms:created>
  <dcterms:modified xsi:type="dcterms:W3CDTF">2020-07-27T08:02:00Z</dcterms:modified>
</cp:coreProperties>
</file>